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59A5E4" w14:textId="21AD5A75" w:rsidR="00B97528" w:rsidRPr="00824622" w:rsidRDefault="00A16971" w:rsidP="00B97528">
      <w:pPr>
        <w:pStyle w:val="Title"/>
        <w:rPr>
          <w:sz w:val="28"/>
          <w:szCs w:val="28"/>
        </w:rPr>
      </w:pPr>
      <w:r>
        <w:rPr>
          <w:sz w:val="28"/>
          <w:szCs w:val="28"/>
        </w:rPr>
        <w:t>Additional</w:t>
      </w:r>
      <w:r w:rsidR="00B97528" w:rsidRPr="00824622">
        <w:rPr>
          <w:sz w:val="28"/>
          <w:szCs w:val="28"/>
        </w:rPr>
        <w:t xml:space="preserve"> Figures and Notes </w:t>
      </w:r>
      <w:r w:rsidR="00824622" w:rsidRPr="00824622">
        <w:rPr>
          <w:sz w:val="28"/>
          <w:szCs w:val="28"/>
        </w:rPr>
        <w:t>for</w:t>
      </w:r>
    </w:p>
    <w:p w14:paraId="0BCFA4E4" w14:textId="77777777" w:rsidR="00824622" w:rsidRPr="00824622" w:rsidRDefault="00824622" w:rsidP="00824622">
      <w:pPr>
        <w:pStyle w:val="Title"/>
        <w:ind w:firstLine="288"/>
        <w:rPr>
          <w:sz w:val="28"/>
          <w:szCs w:val="28"/>
        </w:rPr>
      </w:pPr>
      <w:r w:rsidRPr="00824622">
        <w:rPr>
          <w:sz w:val="28"/>
          <w:szCs w:val="28"/>
        </w:rPr>
        <w:t>Single-cell Transcriptional Uncertainty Landscape of Cell Differentiation</w:t>
      </w:r>
    </w:p>
    <w:p w14:paraId="72916E85" w14:textId="77777777" w:rsidR="00A07043" w:rsidRPr="000D6B12" w:rsidRDefault="00A07043" w:rsidP="00A07043">
      <w:pPr>
        <w:ind w:firstLine="0"/>
        <w:rPr>
          <w:rFonts w:cs="Times New Roman"/>
          <w:szCs w:val="20"/>
        </w:rPr>
      </w:pPr>
      <w:r w:rsidRPr="000D6B12">
        <w:rPr>
          <w:rFonts w:cs="Times New Roman"/>
          <w:szCs w:val="20"/>
        </w:rPr>
        <w:t xml:space="preserve">Nan </w:t>
      </w:r>
      <w:proofErr w:type="spellStart"/>
      <w:r w:rsidRPr="000D6B12">
        <w:rPr>
          <w:rFonts w:cs="Times New Roman"/>
          <w:szCs w:val="20"/>
        </w:rPr>
        <w:t>Papili</w:t>
      </w:r>
      <w:proofErr w:type="spellEnd"/>
      <w:r w:rsidRPr="000D6B12">
        <w:rPr>
          <w:rFonts w:cs="Times New Roman"/>
          <w:szCs w:val="20"/>
        </w:rPr>
        <w:t xml:space="preserve"> Gao</w:t>
      </w:r>
      <w:r w:rsidRPr="000D6B12">
        <w:rPr>
          <w:rFonts w:cs="Times New Roman"/>
          <w:szCs w:val="20"/>
          <w:vertAlign w:val="superscript"/>
        </w:rPr>
        <w:t>1</w:t>
      </w:r>
      <w:r w:rsidRPr="000D6B12">
        <w:rPr>
          <w:rFonts w:cs="Times New Roman"/>
          <w:szCs w:val="20"/>
        </w:rPr>
        <w:t xml:space="preserve">, Olivier </w:t>
      </w:r>
      <w:proofErr w:type="spellStart"/>
      <w:r w:rsidRPr="000D6B12">
        <w:rPr>
          <w:rFonts w:cs="Times New Roman"/>
          <w:szCs w:val="20"/>
        </w:rPr>
        <w:t>Gandrillon</w:t>
      </w:r>
      <w:proofErr w:type="spellEnd"/>
      <w:r w:rsidRPr="000D6B12">
        <w:rPr>
          <w:rFonts w:cs="Times New Roman"/>
          <w:szCs w:val="20"/>
        </w:rPr>
        <w:t xml:space="preserve"> </w:t>
      </w:r>
      <w:r w:rsidRPr="000D6B12">
        <w:rPr>
          <w:rFonts w:cs="Times New Roman"/>
          <w:szCs w:val="20"/>
          <w:vertAlign w:val="superscript"/>
        </w:rPr>
        <w:t>2,3</w:t>
      </w:r>
      <w:r w:rsidRPr="000D6B12">
        <w:rPr>
          <w:rFonts w:cs="Times New Roman"/>
          <w:szCs w:val="20"/>
        </w:rPr>
        <w:t xml:space="preserve">, </w:t>
      </w:r>
      <w:proofErr w:type="spellStart"/>
      <w:r w:rsidRPr="000D6B12">
        <w:rPr>
          <w:rFonts w:cs="Times New Roman"/>
          <w:szCs w:val="20"/>
        </w:rPr>
        <w:t>András</w:t>
      </w:r>
      <w:proofErr w:type="spellEnd"/>
      <w:r w:rsidRPr="000D6B12">
        <w:rPr>
          <w:rFonts w:cs="Times New Roman"/>
          <w:szCs w:val="20"/>
        </w:rPr>
        <w:t xml:space="preserve"> </w:t>
      </w:r>
      <w:proofErr w:type="spellStart"/>
      <w:r w:rsidRPr="000D6B12">
        <w:rPr>
          <w:rFonts w:cs="Times New Roman"/>
          <w:szCs w:val="20"/>
        </w:rPr>
        <w:t>Páldi</w:t>
      </w:r>
      <w:proofErr w:type="spellEnd"/>
      <w:r w:rsidRPr="000D6B12">
        <w:rPr>
          <w:rFonts w:cs="Times New Roman"/>
          <w:szCs w:val="20"/>
        </w:rPr>
        <w:t xml:space="preserve"> </w:t>
      </w:r>
      <w:r w:rsidRPr="000D6B12">
        <w:rPr>
          <w:rFonts w:cs="Times New Roman"/>
          <w:szCs w:val="20"/>
          <w:vertAlign w:val="superscript"/>
        </w:rPr>
        <w:t>4</w:t>
      </w:r>
      <w:r w:rsidRPr="000D6B12">
        <w:rPr>
          <w:rFonts w:cs="Times New Roman"/>
          <w:szCs w:val="20"/>
        </w:rPr>
        <w:t xml:space="preserve">, </w:t>
      </w:r>
      <w:proofErr w:type="spellStart"/>
      <w:r w:rsidRPr="000D6B12">
        <w:rPr>
          <w:rFonts w:cs="Times New Roman"/>
          <w:szCs w:val="20"/>
        </w:rPr>
        <w:t>Ulysse</w:t>
      </w:r>
      <w:proofErr w:type="spellEnd"/>
      <w:r w:rsidRPr="000D6B12">
        <w:rPr>
          <w:rFonts w:cs="Times New Roman"/>
          <w:szCs w:val="20"/>
        </w:rPr>
        <w:t xml:space="preserve"> </w:t>
      </w:r>
      <w:proofErr w:type="spellStart"/>
      <w:r w:rsidRPr="000D6B12">
        <w:rPr>
          <w:rFonts w:cs="Times New Roman"/>
          <w:szCs w:val="20"/>
        </w:rPr>
        <w:t>Herbach</w:t>
      </w:r>
      <w:proofErr w:type="spellEnd"/>
      <w:r w:rsidRPr="000D6B12">
        <w:rPr>
          <w:rFonts w:cs="Times New Roman"/>
          <w:szCs w:val="20"/>
        </w:rPr>
        <w:t xml:space="preserve"> </w:t>
      </w:r>
      <w:r w:rsidRPr="000D6B12">
        <w:rPr>
          <w:rFonts w:cs="Times New Roman"/>
          <w:szCs w:val="20"/>
          <w:vertAlign w:val="superscript"/>
        </w:rPr>
        <w:t>5</w:t>
      </w:r>
      <w:r w:rsidRPr="000D6B12">
        <w:rPr>
          <w:rFonts w:cs="Times New Roman"/>
          <w:szCs w:val="20"/>
        </w:rPr>
        <w:t xml:space="preserve">, Rudiyanto Gunawan </w:t>
      </w:r>
      <w:r w:rsidRPr="000D6B12">
        <w:rPr>
          <w:rFonts w:cs="Times New Roman"/>
          <w:szCs w:val="20"/>
          <w:vertAlign w:val="superscript"/>
        </w:rPr>
        <w:t>1,</w:t>
      </w:r>
      <w:proofErr w:type="gramStart"/>
      <w:r w:rsidRPr="000D6B12">
        <w:rPr>
          <w:rFonts w:cs="Times New Roman"/>
          <w:szCs w:val="20"/>
          <w:vertAlign w:val="superscript"/>
        </w:rPr>
        <w:t>6,*</w:t>
      </w:r>
      <w:proofErr w:type="gramEnd"/>
      <w:r w:rsidRPr="000D6B12">
        <w:rPr>
          <w:rFonts w:cs="Times New Roman"/>
          <w:szCs w:val="20"/>
        </w:rPr>
        <w:t xml:space="preserve"> </w:t>
      </w:r>
    </w:p>
    <w:p w14:paraId="5049CD24" w14:textId="77777777" w:rsidR="00A07043" w:rsidRPr="000D6B12" w:rsidRDefault="00A07043" w:rsidP="00A07043">
      <w:pPr>
        <w:ind w:firstLine="0"/>
        <w:rPr>
          <w:rFonts w:cs="Times New Roman"/>
          <w:szCs w:val="20"/>
          <w:lang w:val="en-US"/>
        </w:rPr>
      </w:pPr>
      <w:r w:rsidRPr="000D6B12">
        <w:rPr>
          <w:rFonts w:cs="Times New Roman"/>
          <w:szCs w:val="20"/>
          <w:vertAlign w:val="superscript"/>
          <w:lang w:val="en-US"/>
        </w:rPr>
        <w:t xml:space="preserve">1 </w:t>
      </w:r>
      <w:r w:rsidRPr="000D6B12">
        <w:rPr>
          <w:rFonts w:cs="Times New Roman"/>
          <w:szCs w:val="20"/>
          <w:lang w:val="en-US"/>
        </w:rPr>
        <w:t xml:space="preserve">Institute for Chemical and Bioengineering, ETH Zurich, Zurich, 8093, Switzerland </w:t>
      </w:r>
    </w:p>
    <w:p w14:paraId="3A4FBC6A" w14:textId="77777777" w:rsidR="00A07043" w:rsidRPr="000D6B12" w:rsidRDefault="00A07043" w:rsidP="00A07043">
      <w:pPr>
        <w:ind w:firstLine="0"/>
        <w:rPr>
          <w:rFonts w:cs="Times New Roman"/>
          <w:szCs w:val="20"/>
          <w:lang w:val="en-US"/>
        </w:rPr>
      </w:pPr>
      <w:r w:rsidRPr="000D6B12">
        <w:rPr>
          <w:rFonts w:cs="Times New Roman"/>
          <w:szCs w:val="20"/>
          <w:vertAlign w:val="superscript"/>
          <w:lang w:val="en-US"/>
        </w:rPr>
        <w:t>2</w:t>
      </w:r>
      <w:r w:rsidRPr="000D6B12">
        <w:rPr>
          <w:rFonts w:cs="Times New Roman"/>
          <w:szCs w:val="20"/>
          <w:lang w:val="en-US"/>
        </w:rPr>
        <w:t xml:space="preserve"> </w:t>
      </w:r>
      <w:proofErr w:type="spellStart"/>
      <w:r w:rsidRPr="000D6B12">
        <w:rPr>
          <w:rFonts w:cs="Times New Roman"/>
          <w:szCs w:val="20"/>
        </w:rPr>
        <w:t>Laboratoire</w:t>
      </w:r>
      <w:proofErr w:type="spellEnd"/>
      <w:r w:rsidRPr="000D6B12">
        <w:rPr>
          <w:rFonts w:cs="Times New Roman"/>
          <w:szCs w:val="20"/>
        </w:rPr>
        <w:t xml:space="preserve"> de </w:t>
      </w:r>
      <w:proofErr w:type="spellStart"/>
      <w:r w:rsidRPr="000D6B12">
        <w:rPr>
          <w:rFonts w:cs="Times New Roman"/>
          <w:szCs w:val="20"/>
        </w:rPr>
        <w:t>Biologie</w:t>
      </w:r>
      <w:proofErr w:type="spellEnd"/>
      <w:r w:rsidRPr="000D6B12">
        <w:rPr>
          <w:rFonts w:cs="Times New Roman"/>
          <w:szCs w:val="20"/>
        </w:rPr>
        <w:t xml:space="preserve"> et </w:t>
      </w:r>
      <w:proofErr w:type="spellStart"/>
      <w:r w:rsidRPr="000D6B12">
        <w:rPr>
          <w:rFonts w:cs="Times New Roman"/>
          <w:szCs w:val="20"/>
        </w:rPr>
        <w:t>Modélisation</w:t>
      </w:r>
      <w:proofErr w:type="spellEnd"/>
      <w:r w:rsidRPr="000D6B12">
        <w:rPr>
          <w:rFonts w:cs="Times New Roman"/>
          <w:szCs w:val="20"/>
        </w:rPr>
        <w:t xml:space="preserve"> de la Cellule, </w:t>
      </w:r>
      <w:proofErr w:type="spellStart"/>
      <w:r w:rsidRPr="000D6B12">
        <w:rPr>
          <w:rFonts w:cs="Times New Roman"/>
          <w:szCs w:val="20"/>
        </w:rPr>
        <w:t>École</w:t>
      </w:r>
      <w:proofErr w:type="spellEnd"/>
      <w:r w:rsidRPr="000D6B12">
        <w:rPr>
          <w:rFonts w:cs="Times New Roman"/>
          <w:szCs w:val="20"/>
        </w:rPr>
        <w:t xml:space="preserve"> </w:t>
      </w:r>
      <w:proofErr w:type="spellStart"/>
      <w:r w:rsidRPr="000D6B12">
        <w:rPr>
          <w:rFonts w:cs="Times New Roman"/>
          <w:szCs w:val="20"/>
        </w:rPr>
        <w:t>Normale</w:t>
      </w:r>
      <w:proofErr w:type="spellEnd"/>
      <w:r w:rsidRPr="000D6B12">
        <w:rPr>
          <w:rFonts w:cs="Times New Roman"/>
          <w:szCs w:val="20"/>
        </w:rPr>
        <w:t xml:space="preserve"> </w:t>
      </w:r>
      <w:proofErr w:type="spellStart"/>
      <w:r w:rsidRPr="000D6B12">
        <w:rPr>
          <w:rFonts w:cs="Times New Roman"/>
          <w:szCs w:val="20"/>
        </w:rPr>
        <w:t>Supérieure</w:t>
      </w:r>
      <w:proofErr w:type="spellEnd"/>
      <w:r w:rsidRPr="000D6B12">
        <w:rPr>
          <w:rFonts w:cs="Times New Roman"/>
          <w:szCs w:val="20"/>
        </w:rPr>
        <w:t xml:space="preserve"> de Lyon, </w:t>
      </w:r>
      <w:proofErr w:type="gramStart"/>
      <w:r w:rsidRPr="000D6B12">
        <w:rPr>
          <w:rFonts w:cs="Times New Roman"/>
          <w:szCs w:val="20"/>
        </w:rPr>
        <w:t xml:space="preserve">CNRS,  </w:t>
      </w:r>
      <w:proofErr w:type="spellStart"/>
      <w:r w:rsidRPr="000D6B12">
        <w:rPr>
          <w:rFonts w:cs="Times New Roman"/>
          <w:szCs w:val="20"/>
        </w:rPr>
        <w:t>Universite</w:t>
      </w:r>
      <w:proofErr w:type="spellEnd"/>
      <w:r w:rsidRPr="000D6B12">
        <w:rPr>
          <w:rFonts w:cs="Times New Roman"/>
          <w:szCs w:val="20"/>
        </w:rPr>
        <w:t>́</w:t>
      </w:r>
      <w:proofErr w:type="gramEnd"/>
      <w:r w:rsidRPr="000D6B12">
        <w:rPr>
          <w:rFonts w:cs="Times New Roman"/>
          <w:szCs w:val="20"/>
        </w:rPr>
        <w:t xml:space="preserve"> Claude Bernard Lyon 1, 46 </w:t>
      </w:r>
      <w:proofErr w:type="spellStart"/>
      <w:r w:rsidRPr="000D6B12">
        <w:rPr>
          <w:rFonts w:cs="Times New Roman"/>
          <w:szCs w:val="20"/>
        </w:rPr>
        <w:t>allée</w:t>
      </w:r>
      <w:proofErr w:type="spellEnd"/>
      <w:r w:rsidRPr="000D6B12">
        <w:rPr>
          <w:rFonts w:cs="Times New Roman"/>
          <w:szCs w:val="20"/>
        </w:rPr>
        <w:t xml:space="preserve"> </w:t>
      </w:r>
      <w:proofErr w:type="spellStart"/>
      <w:r w:rsidRPr="000D6B12">
        <w:rPr>
          <w:rFonts w:cs="Times New Roman"/>
          <w:szCs w:val="20"/>
        </w:rPr>
        <w:t>d’Italie</w:t>
      </w:r>
      <w:proofErr w:type="spellEnd"/>
      <w:r w:rsidRPr="000D6B12">
        <w:rPr>
          <w:rFonts w:cs="Times New Roman"/>
          <w:szCs w:val="20"/>
        </w:rPr>
        <w:t xml:space="preserve"> F-69364 Lyon, France</w:t>
      </w:r>
    </w:p>
    <w:p w14:paraId="1FFBFC49" w14:textId="77777777" w:rsidR="00A07043" w:rsidRPr="000D6B12" w:rsidRDefault="00A07043" w:rsidP="00A07043">
      <w:pPr>
        <w:ind w:firstLine="0"/>
        <w:rPr>
          <w:rFonts w:cs="Times New Roman"/>
          <w:szCs w:val="20"/>
          <w:lang w:val="en-US"/>
        </w:rPr>
      </w:pPr>
      <w:r w:rsidRPr="000D6B12">
        <w:rPr>
          <w:rFonts w:cs="Times New Roman"/>
          <w:szCs w:val="20"/>
          <w:vertAlign w:val="superscript"/>
          <w:lang w:val="en-US"/>
        </w:rPr>
        <w:t>3</w:t>
      </w:r>
      <w:r w:rsidRPr="000D6B12">
        <w:rPr>
          <w:rFonts w:cs="Times New Roman"/>
          <w:szCs w:val="20"/>
          <w:lang w:val="en-US"/>
        </w:rPr>
        <w:t xml:space="preserve"> </w:t>
      </w:r>
      <w:proofErr w:type="spellStart"/>
      <w:r w:rsidRPr="000D6B12">
        <w:rPr>
          <w:rFonts w:cs="Times New Roman"/>
          <w:szCs w:val="20"/>
        </w:rPr>
        <w:t>Équipe</w:t>
      </w:r>
      <w:proofErr w:type="spellEnd"/>
      <w:r w:rsidRPr="000D6B12">
        <w:rPr>
          <w:rFonts w:cs="Times New Roman"/>
          <w:szCs w:val="20"/>
        </w:rPr>
        <w:t xml:space="preserve"> Dracula, </w:t>
      </w:r>
      <w:proofErr w:type="spellStart"/>
      <w:r w:rsidRPr="000D6B12">
        <w:rPr>
          <w:rFonts w:cs="Times New Roman"/>
          <w:szCs w:val="20"/>
        </w:rPr>
        <w:t>Inria</w:t>
      </w:r>
      <w:proofErr w:type="spellEnd"/>
      <w:r w:rsidRPr="000D6B12">
        <w:rPr>
          <w:rFonts w:cs="Times New Roman"/>
          <w:szCs w:val="20"/>
        </w:rPr>
        <w:t xml:space="preserve"> </w:t>
      </w:r>
      <w:proofErr w:type="spellStart"/>
      <w:r w:rsidRPr="000D6B12">
        <w:rPr>
          <w:rFonts w:cs="Times New Roman"/>
          <w:szCs w:val="20"/>
        </w:rPr>
        <w:t>Center</w:t>
      </w:r>
      <w:proofErr w:type="spellEnd"/>
      <w:r w:rsidRPr="000D6B12">
        <w:rPr>
          <w:rFonts w:cs="Times New Roman"/>
          <w:szCs w:val="20"/>
        </w:rPr>
        <w:t xml:space="preserve"> Lyon, Villeurbanne, F-</w:t>
      </w:r>
      <w:proofErr w:type="gramStart"/>
      <w:r w:rsidRPr="000D6B12">
        <w:rPr>
          <w:rFonts w:cs="Times New Roman"/>
          <w:szCs w:val="20"/>
        </w:rPr>
        <w:t>69100,  France</w:t>
      </w:r>
      <w:proofErr w:type="gramEnd"/>
    </w:p>
    <w:p w14:paraId="210A44D4" w14:textId="77777777" w:rsidR="00A07043" w:rsidRPr="000D6B12" w:rsidRDefault="00A07043" w:rsidP="00A07043">
      <w:pPr>
        <w:ind w:firstLine="0"/>
        <w:rPr>
          <w:rFonts w:cs="Times New Roman"/>
          <w:szCs w:val="20"/>
          <w:lang w:val="en-US"/>
        </w:rPr>
      </w:pPr>
      <w:r w:rsidRPr="000D6B12">
        <w:rPr>
          <w:rFonts w:cs="Times New Roman"/>
          <w:szCs w:val="20"/>
          <w:vertAlign w:val="superscript"/>
          <w:lang w:val="en-US"/>
        </w:rPr>
        <w:t xml:space="preserve">4 </w:t>
      </w:r>
      <w:r w:rsidRPr="000D6B12">
        <w:rPr>
          <w:rFonts w:cs="Times New Roman"/>
          <w:szCs w:val="20"/>
          <w:lang w:val="en-US"/>
        </w:rPr>
        <w:t>St-Antoine Research Center, Ecole Pratique des Hautes Etudes PSL, F-75012, Paris, France</w:t>
      </w:r>
    </w:p>
    <w:p w14:paraId="21FF375C" w14:textId="77777777" w:rsidR="00A07043" w:rsidRPr="000D6B12" w:rsidRDefault="00A07043" w:rsidP="00A07043">
      <w:pPr>
        <w:ind w:left="720" w:hanging="720"/>
        <w:rPr>
          <w:rFonts w:cs="Times New Roman"/>
          <w:szCs w:val="20"/>
          <w:lang w:val="en-US"/>
        </w:rPr>
      </w:pPr>
      <w:r w:rsidRPr="000D6B12">
        <w:rPr>
          <w:rFonts w:cs="Times New Roman"/>
          <w:szCs w:val="20"/>
          <w:vertAlign w:val="superscript"/>
          <w:lang w:val="en-US"/>
        </w:rPr>
        <w:t xml:space="preserve">5 </w:t>
      </w:r>
      <w:r w:rsidRPr="000D6B12">
        <w:rPr>
          <w:rFonts w:cs="Times New Roman"/>
          <w:szCs w:val="20"/>
          <w:lang w:val="en-US"/>
        </w:rPr>
        <w:t xml:space="preserve">CNRS, </w:t>
      </w:r>
      <w:proofErr w:type="spellStart"/>
      <w:r w:rsidRPr="000D6B12">
        <w:rPr>
          <w:rFonts w:cs="Times New Roman"/>
          <w:szCs w:val="20"/>
          <w:lang w:val="en-US"/>
        </w:rPr>
        <w:t>Inria</w:t>
      </w:r>
      <w:proofErr w:type="spellEnd"/>
      <w:r w:rsidRPr="000D6B12">
        <w:rPr>
          <w:rFonts w:cs="Times New Roman"/>
          <w:szCs w:val="20"/>
          <w:lang w:val="en-US"/>
        </w:rPr>
        <w:t xml:space="preserve">, IECL, </w:t>
      </w:r>
      <w:proofErr w:type="spellStart"/>
      <w:r w:rsidRPr="000D6B12">
        <w:rPr>
          <w:rFonts w:cs="Times New Roman"/>
          <w:szCs w:val="20"/>
          <w:lang w:val="en-US"/>
        </w:rPr>
        <w:t>Universite</w:t>
      </w:r>
      <w:proofErr w:type="spellEnd"/>
      <w:r w:rsidRPr="000D6B12">
        <w:rPr>
          <w:rFonts w:cs="Times New Roman"/>
          <w:szCs w:val="20"/>
          <w:lang w:val="en-US"/>
        </w:rPr>
        <w:t>́ de Lorraine, F-54000, France</w:t>
      </w:r>
    </w:p>
    <w:p w14:paraId="56FB7CB1" w14:textId="77777777" w:rsidR="00A07043" w:rsidRPr="000D6B12" w:rsidRDefault="00A07043" w:rsidP="00A07043">
      <w:pPr>
        <w:ind w:firstLine="0"/>
        <w:rPr>
          <w:rFonts w:cs="Times New Roman"/>
          <w:szCs w:val="20"/>
          <w:lang w:val="en-US"/>
        </w:rPr>
      </w:pPr>
      <w:r w:rsidRPr="000D6B12">
        <w:rPr>
          <w:rFonts w:cs="Times New Roman"/>
          <w:szCs w:val="20"/>
          <w:vertAlign w:val="superscript"/>
          <w:lang w:val="en-US"/>
        </w:rPr>
        <w:t xml:space="preserve">6 </w:t>
      </w:r>
      <w:r w:rsidRPr="000D6B12">
        <w:rPr>
          <w:rFonts w:cs="Times New Roman"/>
          <w:szCs w:val="20"/>
          <w:lang w:val="en-US"/>
        </w:rPr>
        <w:t xml:space="preserve">Department of Chemical and Biological Engineering, University at Buffalo - SUNY, Buffalo, NY 14260, USA </w:t>
      </w:r>
    </w:p>
    <w:p w14:paraId="7E978670" w14:textId="77777777" w:rsidR="009B4686" w:rsidRPr="000D6B12" w:rsidRDefault="009B4686" w:rsidP="009B4686">
      <w:pPr>
        <w:ind w:firstLine="0"/>
        <w:rPr>
          <w:rFonts w:cs="Times New Roman"/>
          <w:szCs w:val="20"/>
          <w:lang w:val="en-US"/>
        </w:rPr>
      </w:pPr>
      <w:r w:rsidRPr="000D6B12">
        <w:rPr>
          <w:rFonts w:cs="Times New Roman"/>
          <w:szCs w:val="20"/>
          <w:lang w:val="en-US"/>
        </w:rPr>
        <w:t>* Corresponding author (email: rgunawan@buffalo.edu)</w:t>
      </w:r>
    </w:p>
    <w:p w14:paraId="36D8946D" w14:textId="17E39740" w:rsidR="00B86070" w:rsidRDefault="00B86070" w:rsidP="00302386">
      <w:pPr>
        <w:ind w:firstLine="288"/>
        <w:rPr>
          <w:rFonts w:cs="Times New Roman"/>
          <w:lang w:val="en-US"/>
        </w:rPr>
      </w:pPr>
    </w:p>
    <w:p w14:paraId="112E250E" w14:textId="32504368" w:rsidR="00FF0BE3" w:rsidRDefault="00FF0BE3" w:rsidP="00302386">
      <w:pPr>
        <w:ind w:firstLine="288"/>
        <w:rPr>
          <w:rFonts w:cs="Times New Roman"/>
          <w:lang w:val="en-US"/>
        </w:rPr>
      </w:pPr>
    </w:p>
    <w:p w14:paraId="4C36C4E6" w14:textId="6C2C7668" w:rsidR="00FF0BE3" w:rsidRDefault="00FF0BE3" w:rsidP="00302386">
      <w:pPr>
        <w:ind w:firstLine="288"/>
        <w:rPr>
          <w:rFonts w:cs="Times New Roman"/>
          <w:lang w:val="en-US"/>
        </w:rPr>
      </w:pPr>
    </w:p>
    <w:p w14:paraId="00C75F3C" w14:textId="7B9D2030" w:rsidR="00FF0BE3" w:rsidRDefault="00FF0BE3" w:rsidP="00302386">
      <w:pPr>
        <w:ind w:firstLine="288"/>
        <w:rPr>
          <w:rFonts w:cs="Times New Roman"/>
          <w:lang w:val="en-US"/>
        </w:rPr>
      </w:pPr>
    </w:p>
    <w:p w14:paraId="55E8D5C3" w14:textId="77777777" w:rsidR="00FF0BE3" w:rsidRPr="00A264F7" w:rsidRDefault="00FF0BE3" w:rsidP="00302386">
      <w:pPr>
        <w:ind w:firstLine="288"/>
        <w:rPr>
          <w:rFonts w:cs="Times New Roman"/>
          <w:lang w:val="en-US"/>
        </w:rPr>
      </w:pPr>
    </w:p>
    <w:p w14:paraId="14464D3F" w14:textId="77777777" w:rsidR="00642E82" w:rsidRDefault="00642E82" w:rsidP="00302386">
      <w:pPr>
        <w:ind w:firstLine="288"/>
        <w:rPr>
          <w:rFonts w:cs="Times New Roman"/>
          <w:lang w:val="en-US"/>
        </w:rPr>
      </w:pPr>
    </w:p>
    <w:p w14:paraId="57C0B056" w14:textId="77777777" w:rsidR="00516F10" w:rsidRDefault="00516F10" w:rsidP="00302386">
      <w:pPr>
        <w:ind w:firstLine="288"/>
        <w:rPr>
          <w:noProof/>
        </w:rPr>
      </w:pPr>
    </w:p>
    <w:p w14:paraId="3ED1435E" w14:textId="77777777" w:rsidR="00516F10" w:rsidRDefault="00516F10" w:rsidP="00302386">
      <w:pPr>
        <w:ind w:firstLine="288"/>
        <w:rPr>
          <w:noProof/>
        </w:rPr>
      </w:pPr>
    </w:p>
    <w:p w14:paraId="42A45949" w14:textId="77777777" w:rsidR="00516F10" w:rsidRDefault="00516F10" w:rsidP="00302386">
      <w:pPr>
        <w:ind w:firstLine="288"/>
        <w:rPr>
          <w:noProof/>
        </w:rPr>
      </w:pPr>
    </w:p>
    <w:p w14:paraId="0D14C018" w14:textId="77777777" w:rsidR="00516F10" w:rsidRDefault="00516F10" w:rsidP="00302386">
      <w:pPr>
        <w:ind w:firstLine="288"/>
        <w:rPr>
          <w:noProof/>
        </w:rPr>
      </w:pPr>
    </w:p>
    <w:p w14:paraId="32B46771" w14:textId="77777777" w:rsidR="00516F10" w:rsidRDefault="00516F10" w:rsidP="00302386">
      <w:pPr>
        <w:ind w:firstLine="288"/>
        <w:rPr>
          <w:noProof/>
        </w:rPr>
      </w:pPr>
    </w:p>
    <w:p w14:paraId="358F2F79" w14:textId="77777777" w:rsidR="00516F10" w:rsidRDefault="00516F10" w:rsidP="00302386">
      <w:pPr>
        <w:ind w:firstLine="288"/>
        <w:rPr>
          <w:noProof/>
        </w:rPr>
      </w:pPr>
    </w:p>
    <w:p w14:paraId="5FFEDA1C" w14:textId="77777777" w:rsidR="00516F10" w:rsidRDefault="00516F10" w:rsidP="00302386">
      <w:pPr>
        <w:ind w:firstLine="288"/>
        <w:rPr>
          <w:noProof/>
        </w:rPr>
      </w:pPr>
    </w:p>
    <w:p w14:paraId="28EB92E5" w14:textId="77777777" w:rsidR="00516F10" w:rsidRDefault="00516F10" w:rsidP="00302386">
      <w:pPr>
        <w:ind w:firstLine="288"/>
        <w:rPr>
          <w:noProof/>
        </w:rPr>
      </w:pPr>
    </w:p>
    <w:p w14:paraId="72EB2140" w14:textId="77777777" w:rsidR="00516F10" w:rsidRDefault="00516F10" w:rsidP="00302386">
      <w:pPr>
        <w:ind w:firstLine="288"/>
        <w:rPr>
          <w:noProof/>
        </w:rPr>
      </w:pPr>
    </w:p>
    <w:p w14:paraId="3D947971" w14:textId="77777777" w:rsidR="00516F10" w:rsidRDefault="00516F10" w:rsidP="00302386">
      <w:pPr>
        <w:ind w:firstLine="288"/>
        <w:rPr>
          <w:noProof/>
        </w:rPr>
      </w:pPr>
    </w:p>
    <w:p w14:paraId="1B7C6953" w14:textId="77777777" w:rsidR="00516F10" w:rsidRDefault="00516F10" w:rsidP="00302386">
      <w:pPr>
        <w:ind w:firstLine="288"/>
        <w:rPr>
          <w:noProof/>
        </w:rPr>
      </w:pPr>
    </w:p>
    <w:p w14:paraId="77F348E2" w14:textId="0BE4504F" w:rsidR="00516F10" w:rsidRDefault="00516F10" w:rsidP="00302386">
      <w:pPr>
        <w:ind w:firstLine="288"/>
        <w:rPr>
          <w:noProof/>
        </w:rPr>
      </w:pPr>
      <w:r>
        <w:rPr>
          <w:noProof/>
        </w:rPr>
        <w:lastRenderedPageBreak/>
        <w:drawing>
          <wp:inline distT="0" distB="0" distL="0" distR="0" wp14:anchorId="50E9984D" wp14:editId="1A7E404A">
            <wp:extent cx="5727700" cy="2116455"/>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creenshot 2021-07-13 at 18.06.31.png"/>
                    <pic:cNvPicPr/>
                  </pic:nvPicPr>
                  <pic:blipFill>
                    <a:blip r:embed="rId7">
                      <a:extLst>
                        <a:ext uri="{28A0092B-C50C-407E-A947-70E740481C1C}">
                          <a14:useLocalDpi xmlns:a14="http://schemas.microsoft.com/office/drawing/2010/main" val="0"/>
                        </a:ext>
                      </a:extLst>
                    </a:blip>
                    <a:stretch>
                      <a:fillRect/>
                    </a:stretch>
                  </pic:blipFill>
                  <pic:spPr>
                    <a:xfrm>
                      <a:off x="0" y="0"/>
                      <a:ext cx="5727700" cy="2116455"/>
                    </a:xfrm>
                    <a:prstGeom prst="rect">
                      <a:avLst/>
                    </a:prstGeom>
                  </pic:spPr>
                </pic:pic>
              </a:graphicData>
            </a:graphic>
          </wp:inline>
        </w:drawing>
      </w:r>
    </w:p>
    <w:p w14:paraId="7297CC25" w14:textId="55A83B7B" w:rsidR="00516F10" w:rsidRDefault="00516F10" w:rsidP="00990FD7">
      <w:pPr>
        <w:spacing w:line="360" w:lineRule="auto"/>
        <w:ind w:firstLine="0"/>
        <w:jc w:val="both"/>
        <w:rPr>
          <w:noProof/>
        </w:rPr>
      </w:pPr>
      <w:r w:rsidRPr="00AC1619">
        <w:rPr>
          <w:rFonts w:cs="Times New Roman"/>
          <w:b/>
          <w:lang w:val="en-US"/>
        </w:rPr>
        <w:t>S1</w:t>
      </w:r>
      <w:r>
        <w:rPr>
          <w:rFonts w:cs="Times New Roman"/>
          <w:b/>
          <w:lang w:val="en-US"/>
        </w:rPr>
        <w:t xml:space="preserve"> Fig</w:t>
      </w:r>
      <w:r w:rsidRPr="00AC1619">
        <w:rPr>
          <w:rFonts w:cs="Times New Roman"/>
          <w:b/>
          <w:lang w:val="en-US"/>
        </w:rPr>
        <w:t xml:space="preserve">. Cell likelihood landscape plots for </w:t>
      </w:r>
      <w:proofErr w:type="spellStart"/>
      <w:r w:rsidRPr="00AC1619">
        <w:rPr>
          <w:rFonts w:cs="Times New Roman"/>
          <w:b/>
          <w:lang w:val="en-US"/>
        </w:rPr>
        <w:t>Bargaje</w:t>
      </w:r>
      <w:proofErr w:type="spellEnd"/>
      <w:r w:rsidRPr="00AC1619">
        <w:rPr>
          <w:rFonts w:cs="Times New Roman"/>
          <w:b/>
          <w:lang w:val="en-US"/>
        </w:rPr>
        <w:t xml:space="preserve"> et al. data </w:t>
      </w:r>
      <w:r w:rsidRPr="00AC1619">
        <w:rPr>
          <w:rFonts w:cs="Times New Roman"/>
          <w:b/>
          <w:lang w:val="en-US"/>
        </w:rPr>
        <w:fldChar w:fldCharType="begin" w:fldLock="1"/>
      </w:r>
      <w:r>
        <w:rPr>
          <w:rFonts w:cs="Times New Roman"/>
          <w:b/>
          <w:lang w:val="en-US"/>
        </w:rPr>
        <w:instrText>ADDIN CSL_CITATION {"citationItems":[{"id":"ITEM-1","itemData":{"DOI":"10.1073/pnas.1621412114","ISSN":"1091-6490","PMID":"28167799","abstract":"Steering the differentiation of induced pluripotent stem cells (iPSCs) toward specific cell types is crucial for patient-specific disease modeling and drug testing. This effort requires the capacity to predict and control when and how multipotent progenitor cells commit to the desired cell fate. Cell fate commitment represents a critical state transition or \"tipping point\" at which complex systems undergo a sudden qualitative shift. To characterize such transitions during iPSC to cardiomyocyte differentiation, we analyzed the gene expression patterns of 96 developmental genes at single-cell resolution. We identified a bifurcation event early in the trajectory when a primitive streak-like cell population segregated into the mesodermal and endodermal lineages. Before this branching point, we could detect the signature of an imminent critical transition: increase in cell heterogeneity and coordination of gene expression. Correlation analysis of gene expression profiles at the tipping point indicates transcription factors that drive the state transition toward each alternative cell fate and their relationships with specific phenotypic readouts. The latter helps us to facilitate small molecule screening for differentiation efficiency. To this end, we set up an analysis of cell population structure at the tipping point after systematic variation of the protocol to bias the differentiation toward mesodermal or endodermal cell lineage. We were able to predict the proportion of cardiomyocytes many days before cells manifest the differentiated phenotype. The analysis of cell populations undergoing a critical state transition thus affords a tool to forecast cell fate outcomes and can be used to optimize differentiation protocols to obtain desired cell populations.","author":[{"dropping-particle":"","family":"Bargaje","given":"Rhishikesh","non-dropping-particle":"","parse-names":false,"suffix":""},{"dropping-particle":"","family":"Trachana","given":"Kalliopi","non-dropping-particle":"","parse-names":false,"suffix":""},{"dropping-particle":"","family":"Shelton","given":"Martin N","non-dropping-particle":"","parse-names":false,"suffix":""},{"dropping-particle":"","family":"McGinnis","given":"Christopher S","non-dropping-particle":"","parse-names":false,"suffix":""},{"dropping-particle":"","family":"Zhou","given":"Joseph X","non-dropping-particle":"","parse-names":false,"suffix":""},{"dropping-particle":"","family":"Chadick","given":"Cora","non-dropping-particle":"","parse-names":false,"suffix":""},{"dropping-particle":"","family":"Cook","given":"Savannah","non-dropping-particle":"","parse-names":false,"suffix":""},{"dropping-particle":"","family":"Cavanaugh","given":"Christopher","non-dropping-particle":"","parse-names":false,"suffix":""},{"dropping-particle":"","family":"Huang","given":"Sui","non-dropping-particle":"","parse-names":false,"suffix":""},{"dropping-particle":"","family":"Hood","given":"Leroy","non-dropping-particle":"","parse-names":false,"suffix":""}],"container-title":"Proceedings of the National Academy of Sciences of the United States of America","id":"ITEM-1","issue":"9","issued":{"date-parts":[["2017","2","28"]]},"page":"2271-2276","publisher":"National Academy of Sciences","title":"Cell population structure prior to bifurcation predicts efficiency of directed differentiation in human induced pluripotent cells.","type":"article-journal","volume":"114"},"uris":["http://www.mendeley.com/documents/?uuid=b242f0b3-c905-37a9-8c7c-8b96e89f3268"]}],"mendeley":{"formattedCitation":"[1]","plainTextFormattedCitation":"[1]","previouslyFormattedCitation":"[1]"},"properties":{"noteIndex":0},"schema":"https://github.com/citation-style-language/schema/raw/master/csl-citation.json"}</w:instrText>
      </w:r>
      <w:r w:rsidRPr="00AC1619">
        <w:rPr>
          <w:rFonts w:cs="Times New Roman"/>
          <w:b/>
          <w:lang w:val="en-US"/>
        </w:rPr>
        <w:fldChar w:fldCharType="separate"/>
      </w:r>
      <w:r w:rsidRPr="00DE312F">
        <w:rPr>
          <w:rFonts w:cs="Times New Roman"/>
          <w:noProof/>
          <w:lang w:val="en-US"/>
        </w:rPr>
        <w:t>[1]</w:t>
      </w:r>
      <w:r w:rsidRPr="00AC1619">
        <w:rPr>
          <w:rFonts w:cs="Times New Roman"/>
          <w:b/>
          <w:lang w:val="en-US"/>
        </w:rPr>
        <w:fldChar w:fldCharType="end"/>
      </w:r>
      <w:r>
        <w:rPr>
          <w:rFonts w:cs="Times New Roman"/>
          <w:b/>
          <w:lang w:val="en-US"/>
        </w:rPr>
        <w:t xml:space="preserve"> estimated by CALISTA. </w:t>
      </w:r>
      <w:r w:rsidRPr="00187818">
        <w:rPr>
          <w:lang w:val="en-US"/>
        </w:rPr>
        <w:t xml:space="preserve"> Each dot on the landscape represents a cell where the colors indicate the cell cluster</w:t>
      </w:r>
      <w:r>
        <w:rPr>
          <w:lang w:val="en-US"/>
        </w:rPr>
        <w:t xml:space="preserve"> (left)</w:t>
      </w:r>
      <w:r w:rsidRPr="00187818">
        <w:rPr>
          <w:lang w:val="en-US"/>
        </w:rPr>
        <w:t xml:space="preserve">, </w:t>
      </w:r>
      <w:proofErr w:type="spellStart"/>
      <w:r w:rsidRPr="00187818">
        <w:rPr>
          <w:lang w:val="en-US"/>
        </w:rPr>
        <w:t>pseudotime</w:t>
      </w:r>
      <w:proofErr w:type="spellEnd"/>
      <w:r w:rsidRPr="00187818">
        <w:rPr>
          <w:lang w:val="en-US"/>
        </w:rPr>
        <w:t xml:space="preserve"> (</w:t>
      </w:r>
      <w:r>
        <w:rPr>
          <w:lang w:val="en-US"/>
        </w:rPr>
        <w:t xml:space="preserve">right, </w:t>
      </w:r>
      <w:r w:rsidRPr="00187818">
        <w:rPr>
          <w:lang w:val="en-US"/>
        </w:rPr>
        <w:t>from dark blue to yellow). The x-y axes of the landscape plots correspond to the first and second principal component (PC) coordinates, respectively, of the single-cell transcriptomic data.</w:t>
      </w:r>
    </w:p>
    <w:p w14:paraId="6400B73F" w14:textId="77777777" w:rsidR="00516F10" w:rsidRDefault="00516F10" w:rsidP="00516F10">
      <w:pPr>
        <w:ind w:firstLine="0"/>
        <w:rPr>
          <w:noProof/>
        </w:rPr>
      </w:pPr>
    </w:p>
    <w:p w14:paraId="59BF5603" w14:textId="77777777" w:rsidR="00516F10" w:rsidRDefault="00516F10" w:rsidP="00302386">
      <w:pPr>
        <w:ind w:firstLine="288"/>
        <w:rPr>
          <w:noProof/>
        </w:rPr>
      </w:pPr>
    </w:p>
    <w:p w14:paraId="680E150B" w14:textId="0A82DF5B" w:rsidR="00642E82" w:rsidRDefault="00A70B09" w:rsidP="00302386">
      <w:pPr>
        <w:ind w:firstLine="288"/>
        <w:rPr>
          <w:rFonts w:cs="Times New Roman"/>
          <w:lang w:val="en-US"/>
        </w:rPr>
      </w:pPr>
      <w:r w:rsidRPr="00A70B09">
        <w:rPr>
          <w:noProof/>
        </w:rPr>
        <w:drawing>
          <wp:inline distT="0" distB="0" distL="0" distR="0" wp14:anchorId="2BA0C0C5" wp14:editId="42F0EF6B">
            <wp:extent cx="2686967" cy="2259495"/>
            <wp:effectExtent l="0" t="0" r="5715"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687283" cy="2259761"/>
                    </a:xfrm>
                    <a:prstGeom prst="rect">
                      <a:avLst/>
                    </a:prstGeom>
                  </pic:spPr>
                </pic:pic>
              </a:graphicData>
            </a:graphic>
          </wp:inline>
        </w:drawing>
      </w:r>
      <w:r w:rsidRPr="00A70B09">
        <w:rPr>
          <w:noProof/>
        </w:rPr>
        <w:t xml:space="preserve"> </w:t>
      </w:r>
      <w:r w:rsidRPr="00A70B09">
        <w:rPr>
          <w:noProof/>
        </w:rPr>
        <w:drawing>
          <wp:inline distT="0" distB="0" distL="0" distR="0" wp14:anchorId="090976C4" wp14:editId="6ADF126D">
            <wp:extent cx="2657061" cy="2244411"/>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657067" cy="2244416"/>
                    </a:xfrm>
                    <a:prstGeom prst="rect">
                      <a:avLst/>
                    </a:prstGeom>
                  </pic:spPr>
                </pic:pic>
              </a:graphicData>
            </a:graphic>
          </wp:inline>
        </w:drawing>
      </w:r>
    </w:p>
    <w:p w14:paraId="06F4B010" w14:textId="152F31B5" w:rsidR="00D936B2" w:rsidRDefault="00D936B2" w:rsidP="00990FD7">
      <w:pPr>
        <w:spacing w:line="360" w:lineRule="auto"/>
        <w:ind w:firstLine="0"/>
        <w:jc w:val="both"/>
        <w:rPr>
          <w:rFonts w:cs="Times New Roman"/>
          <w:lang w:val="en-US"/>
        </w:rPr>
      </w:pPr>
      <w:r w:rsidRPr="00AC1619">
        <w:rPr>
          <w:rFonts w:cs="Times New Roman"/>
          <w:b/>
          <w:lang w:val="en-US"/>
        </w:rPr>
        <w:t>S</w:t>
      </w:r>
      <w:r w:rsidR="00516F10">
        <w:rPr>
          <w:rFonts w:cs="Times New Roman"/>
          <w:b/>
          <w:lang w:val="en-US"/>
        </w:rPr>
        <w:t>2</w:t>
      </w:r>
      <w:r w:rsidR="00FF0BE3">
        <w:rPr>
          <w:rFonts w:cs="Times New Roman"/>
          <w:b/>
          <w:lang w:val="en-US"/>
        </w:rPr>
        <w:t xml:space="preserve"> Fig</w:t>
      </w:r>
      <w:r w:rsidRPr="00AC1619">
        <w:rPr>
          <w:rFonts w:cs="Times New Roman"/>
          <w:b/>
          <w:lang w:val="en-US"/>
        </w:rPr>
        <w:t xml:space="preserve">. Cell likelihood landscape plots for </w:t>
      </w:r>
      <w:proofErr w:type="spellStart"/>
      <w:r w:rsidRPr="00AC1619">
        <w:rPr>
          <w:rFonts w:cs="Times New Roman"/>
          <w:b/>
          <w:lang w:val="en-US"/>
        </w:rPr>
        <w:t>Bargaje</w:t>
      </w:r>
      <w:proofErr w:type="spellEnd"/>
      <w:r w:rsidRPr="00AC1619">
        <w:rPr>
          <w:rFonts w:cs="Times New Roman"/>
          <w:b/>
          <w:lang w:val="en-US"/>
        </w:rPr>
        <w:t xml:space="preserve"> et al. data </w:t>
      </w:r>
      <w:r w:rsidRPr="00AC1619">
        <w:rPr>
          <w:rFonts w:cs="Times New Roman"/>
          <w:b/>
          <w:lang w:val="en-US"/>
        </w:rPr>
        <w:fldChar w:fldCharType="begin" w:fldLock="1"/>
      </w:r>
      <w:r w:rsidR="00083415">
        <w:rPr>
          <w:rFonts w:cs="Times New Roman"/>
          <w:b/>
          <w:lang w:val="en-US"/>
        </w:rPr>
        <w:instrText>ADDIN CSL_CITATION {"citationItems":[{"id":"ITEM-1","itemData":{"DOI":"10.1073/pnas.1621412114","ISSN":"1091-6490","PMID":"28167799","abstract":"Steering the differentiation of induced pluripotent stem cells (iPSCs) toward specific cell types is crucial for patient-specific disease modeling and drug testing. This effort requires the capacity to predict and control when and how multipotent progenitor cells commit to the desired cell fate. Cell fate commitment represents a critical state transition or \"tipping point\" at which complex systems undergo a sudden qualitative shift. To characterize such transitions during iPSC to cardiomyocyte differentiation, we analyzed the gene expression patterns of 96 developmental genes at single-cell resolution. We identified a bifurcation event early in the trajectory when a primitive streak-like cell population segregated into the mesodermal and endodermal lineages. Before this branching point, we could detect the signature of an imminent critical transition: increase in cell heterogeneity and coordination of gene expression. Correlation analysis of gene expression profiles at the tipping point indicates transcription factors that drive the state transition toward each alternative cell fate and their relationships with specific phenotypic readouts. The latter helps us to facilitate small molecule screening for differentiation efficiency. To this end, we set up an analysis of cell population structure at the tipping point after systematic variation of the protocol to bias the differentiation toward mesodermal or endodermal cell lineage. We were able to predict the proportion of cardiomyocytes many days before cells manifest the differentiated phenotype. The analysis of cell populations undergoing a critical state transition thus affords a tool to forecast cell fate outcomes and can be used to optimize differentiation protocols to obtain desired cell populations.","author":[{"dropping-particle":"","family":"Bargaje","given":"Rhishikesh","non-dropping-particle":"","parse-names":false,"suffix":""},{"dropping-particle":"","family":"Trachana","given":"Kalliopi","non-dropping-particle":"","parse-names":false,"suffix":""},{"dropping-particle":"","family":"Shelton","given":"Martin N","non-dropping-particle":"","parse-names":false,"suffix":""},{"dropping-particle":"","family":"McGinnis","given":"Christopher S","non-dropping-particle":"","parse-names":false,"suffix":""},{"dropping-particle":"","family":"Zhou","given":"Joseph X","non-dropping-particle":"","parse-names":false,"suffix":""},{"dropping-particle":"","family":"Chadick","given":"Cora","non-dropping-particle":"","parse-names":false,"suffix":""},{"dropping-particle":"","family":"Cook","given":"Savannah","non-dropping-particle":"","parse-names":false,"suffix":""},{"dropping-particle":"","family":"Cavanaugh","given":"Christopher","non-dropping-particle":"","parse-names":false,"suffix":""},{"dropping-particle":"","family":"Huang","given":"Sui","non-dropping-particle":"","parse-names":false,"suffix":""},{"dropping-particle":"","family":"Hood","given":"Leroy","non-dropping-particle":"","parse-names":false,"suffix":""}],"container-title":"Proceedings of the National Academy of Sciences of the United States of America","id":"ITEM-1","issue":"9","issued":{"date-parts":[["2017","2","28"]]},"page":"2271-2276","publisher":"National Academy of Sciences","title":"Cell population structure prior to bifurcation predicts efficiency of directed differentiation in human induced pluripotent cells.","type":"article-journal","volume":"114"},"uris":["http://www.mendeley.com/documents/?uuid=b242f0b3-c905-37a9-8c7c-8b96e89f3268"]}],"mendeley":{"formattedCitation":"[1]","plainTextFormattedCitation":"[1]","previouslyFormattedCitation":"[1]"},"properties":{"noteIndex":0},"schema":"https://github.com/citation-style-language/schema/raw/master/csl-citation.json"}</w:instrText>
      </w:r>
      <w:r w:rsidRPr="00AC1619">
        <w:rPr>
          <w:rFonts w:cs="Times New Roman"/>
          <w:b/>
          <w:lang w:val="en-US"/>
        </w:rPr>
        <w:fldChar w:fldCharType="separate"/>
      </w:r>
      <w:r w:rsidR="00DE312F" w:rsidRPr="00DE312F">
        <w:rPr>
          <w:rFonts w:cs="Times New Roman"/>
          <w:noProof/>
          <w:lang w:val="en-US"/>
        </w:rPr>
        <w:t>[1]</w:t>
      </w:r>
      <w:r w:rsidRPr="00AC1619">
        <w:rPr>
          <w:rFonts w:cs="Times New Roman"/>
          <w:b/>
          <w:lang w:val="en-US"/>
        </w:rPr>
        <w:fldChar w:fldCharType="end"/>
      </w:r>
      <w:r w:rsidRPr="00AC1619">
        <w:rPr>
          <w:rFonts w:cs="Times New Roman"/>
          <w:b/>
          <w:lang w:val="en-US"/>
        </w:rPr>
        <w:t xml:space="preserve"> considering empirical gene distributions.</w:t>
      </w:r>
      <w:r>
        <w:rPr>
          <w:rFonts w:cs="Times New Roman"/>
          <w:lang w:val="en-US"/>
        </w:rPr>
        <w:t xml:space="preserve"> </w:t>
      </w:r>
      <w:r w:rsidR="00AC1619">
        <w:rPr>
          <w:rFonts w:cs="Times New Roman"/>
          <w:lang w:val="en-US"/>
        </w:rPr>
        <w:t xml:space="preserve">Single cells were </w:t>
      </w:r>
      <w:proofErr w:type="spellStart"/>
      <w:r w:rsidR="00AC1619">
        <w:rPr>
          <w:rFonts w:cs="Times New Roman"/>
          <w:lang w:val="en-US"/>
        </w:rPr>
        <w:t>pseudotemporally</w:t>
      </w:r>
      <w:proofErr w:type="spellEnd"/>
      <w:r w:rsidR="00AC1619">
        <w:rPr>
          <w:rFonts w:cs="Times New Roman"/>
          <w:lang w:val="en-US"/>
        </w:rPr>
        <w:t xml:space="preserve"> ordered along the inferred differentiation trajectories based on the maximum likelihood optimization by applying linear interpolation over the empirical (observed) distributions. Landscape surfaces were depicted for cell</w:t>
      </w:r>
      <w:r w:rsidR="00733DC6">
        <w:rPr>
          <w:rFonts w:cs="Times New Roman"/>
          <w:lang w:val="en-US"/>
        </w:rPr>
        <w:t xml:space="preserve"> clusters (</w:t>
      </w:r>
      <w:r w:rsidR="00733DC6" w:rsidRPr="00733DC6">
        <w:rPr>
          <w:rFonts w:cs="Times New Roman"/>
          <w:i/>
          <w:lang w:val="en-US"/>
        </w:rPr>
        <w:t>left</w:t>
      </w:r>
      <w:r w:rsidR="00733DC6">
        <w:rPr>
          <w:rFonts w:cs="Times New Roman"/>
          <w:lang w:val="en-US"/>
        </w:rPr>
        <w:t xml:space="preserve">) and </w:t>
      </w:r>
      <w:proofErr w:type="spellStart"/>
      <w:r w:rsidR="00733DC6">
        <w:rPr>
          <w:rFonts w:cs="Times New Roman"/>
          <w:lang w:val="en-US"/>
        </w:rPr>
        <w:t>pseudotimes</w:t>
      </w:r>
      <w:proofErr w:type="spellEnd"/>
      <w:r w:rsidR="00733DC6">
        <w:rPr>
          <w:rFonts w:cs="Times New Roman"/>
          <w:lang w:val="en-US"/>
        </w:rPr>
        <w:t xml:space="preserve"> from blue to yellow (</w:t>
      </w:r>
      <w:r w:rsidR="00733DC6" w:rsidRPr="00733DC6">
        <w:rPr>
          <w:rFonts w:cs="Times New Roman"/>
          <w:i/>
          <w:lang w:val="en-US"/>
        </w:rPr>
        <w:t>right</w:t>
      </w:r>
      <w:r w:rsidR="00733DC6">
        <w:rPr>
          <w:rFonts w:cs="Times New Roman"/>
          <w:lang w:val="en-US"/>
        </w:rPr>
        <w:t>).</w:t>
      </w:r>
    </w:p>
    <w:p w14:paraId="74131067" w14:textId="663C5000" w:rsidR="00B97528" w:rsidRDefault="00A70B09" w:rsidP="00642E82">
      <w:pPr>
        <w:ind w:firstLine="0"/>
        <w:rPr>
          <w:rFonts w:cs="Times New Roman"/>
          <w:lang w:val="en-US"/>
        </w:rPr>
      </w:pPr>
      <w:r w:rsidRPr="00A70B09">
        <w:rPr>
          <w:rFonts w:cs="Times New Roman"/>
          <w:noProof/>
          <w:lang w:val="en-US"/>
        </w:rPr>
        <w:lastRenderedPageBreak/>
        <w:drawing>
          <wp:inline distT="0" distB="0" distL="0" distR="0" wp14:anchorId="16FB285E" wp14:editId="71BCF0AA">
            <wp:extent cx="2613259" cy="2139913"/>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613259" cy="2139913"/>
                    </a:xfrm>
                    <a:prstGeom prst="rect">
                      <a:avLst/>
                    </a:prstGeom>
                  </pic:spPr>
                </pic:pic>
              </a:graphicData>
            </a:graphic>
          </wp:inline>
        </w:drawing>
      </w:r>
      <w:r w:rsidRPr="00A70B09">
        <w:rPr>
          <w:noProof/>
        </w:rPr>
        <w:t xml:space="preserve">  </w:t>
      </w:r>
      <w:r w:rsidRPr="00A70B09">
        <w:rPr>
          <w:noProof/>
        </w:rPr>
        <w:drawing>
          <wp:inline distT="0" distB="0" distL="0" distR="0" wp14:anchorId="71CFA8E7" wp14:editId="1B61E11B">
            <wp:extent cx="2701510" cy="2142927"/>
            <wp:effectExtent l="0" t="0" r="381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701997" cy="2143313"/>
                    </a:xfrm>
                    <a:prstGeom prst="rect">
                      <a:avLst/>
                    </a:prstGeom>
                  </pic:spPr>
                </pic:pic>
              </a:graphicData>
            </a:graphic>
          </wp:inline>
        </w:drawing>
      </w:r>
    </w:p>
    <w:p w14:paraId="1A694145" w14:textId="3DF4D7B1" w:rsidR="00642E82" w:rsidRDefault="00642E82" w:rsidP="00990FD7">
      <w:pPr>
        <w:spacing w:line="360" w:lineRule="auto"/>
        <w:ind w:firstLine="0"/>
        <w:jc w:val="both"/>
        <w:rPr>
          <w:rFonts w:cs="Times New Roman"/>
          <w:lang w:val="en-US"/>
        </w:rPr>
      </w:pPr>
      <w:r w:rsidRPr="00642E82">
        <w:rPr>
          <w:rFonts w:cs="Times New Roman"/>
          <w:b/>
          <w:lang w:val="en-US"/>
        </w:rPr>
        <w:t>S</w:t>
      </w:r>
      <w:r w:rsidR="00516F10">
        <w:rPr>
          <w:rFonts w:cs="Times New Roman"/>
          <w:b/>
          <w:lang w:val="en-US"/>
        </w:rPr>
        <w:t>3</w:t>
      </w:r>
      <w:r w:rsidR="00FF0BE3">
        <w:rPr>
          <w:rFonts w:cs="Times New Roman"/>
          <w:b/>
          <w:lang w:val="en-US"/>
        </w:rPr>
        <w:t xml:space="preserve"> Fig</w:t>
      </w:r>
      <w:r w:rsidRPr="00642E82">
        <w:rPr>
          <w:rFonts w:cs="Times New Roman"/>
          <w:b/>
          <w:lang w:val="en-US"/>
        </w:rPr>
        <w:t xml:space="preserve">. Cell likelihood landscape plots for </w:t>
      </w:r>
      <w:proofErr w:type="spellStart"/>
      <w:r w:rsidRPr="00642E82">
        <w:rPr>
          <w:rFonts w:cs="Times New Roman"/>
          <w:b/>
          <w:lang w:val="en-US"/>
        </w:rPr>
        <w:t>Bargaje</w:t>
      </w:r>
      <w:proofErr w:type="spellEnd"/>
      <w:r w:rsidRPr="00642E82">
        <w:rPr>
          <w:rFonts w:cs="Times New Roman"/>
          <w:b/>
          <w:lang w:val="en-US"/>
        </w:rPr>
        <w:t xml:space="preserve"> et al. data </w:t>
      </w:r>
      <w:r w:rsidRPr="00642E82">
        <w:rPr>
          <w:rFonts w:cs="Times New Roman"/>
          <w:b/>
          <w:lang w:val="en-US"/>
        </w:rPr>
        <w:fldChar w:fldCharType="begin" w:fldLock="1"/>
      </w:r>
      <w:r w:rsidR="00083415">
        <w:rPr>
          <w:rFonts w:cs="Times New Roman"/>
          <w:b/>
          <w:lang w:val="en-US"/>
        </w:rPr>
        <w:instrText>ADDIN CSL_CITATION {"citationItems":[{"id":"ITEM-1","itemData":{"DOI":"10.1073/pnas.1621412114","ISSN":"1091-6490","PMID":"28167799","abstract":"Steering the differentiation of induced pluripotent stem cells (iPSCs) toward specific cell types is crucial for patient-specific disease modeling and drug testing. This effort requires the capacity to predict and control when and how multipotent progenitor cells commit to the desired cell fate. Cell fate commitment represents a critical state transition or \"tipping point\" at which complex systems undergo a sudden qualitative shift. To characterize such transitions during iPSC to cardiomyocyte differentiation, we analyzed the gene expression patterns of 96 developmental genes at single-cell resolution. We identified a bifurcation event early in the trajectory when a primitive streak-like cell population segregated into the mesodermal and endodermal lineages. Before this branching point, we could detect the signature of an imminent critical transition: increase in cell heterogeneity and coordination of gene expression. Correlation analysis of gene expression profiles at the tipping point indicates transcription factors that drive the state transition toward each alternative cell fate and their relationships with specific phenotypic readouts. The latter helps us to facilitate small molecule screening for differentiation efficiency. To this end, we set up an analysis of cell population structure at the tipping point after systematic variation of the protocol to bias the differentiation toward mesodermal or endodermal cell lineage. We were able to predict the proportion of cardiomyocytes many days before cells manifest the differentiated phenotype. The analysis of cell populations undergoing a critical state transition thus affords a tool to forecast cell fate outcomes and can be used to optimize differentiation protocols to obtain desired cell populations.","author":[{"dropping-particle":"","family":"Bargaje","given":"Rhishikesh","non-dropping-particle":"","parse-names":false,"suffix":""},{"dropping-particle":"","family":"Trachana","given":"Kalliopi","non-dropping-particle":"","parse-names":false,"suffix":""},{"dropping-particle":"","family":"Shelton","given":"Martin N","non-dropping-particle":"","parse-names":false,"suffix":""},{"dropping-particle":"","family":"McGinnis","given":"Christopher S","non-dropping-particle":"","parse-names":false,"suffix":""},{"dropping-particle":"","family":"Zhou","given":"Joseph X","non-dropping-particle":"","parse-names":false,"suffix":""},{"dropping-particle":"","family":"Chadick","given":"Cora","non-dropping-particle":"","parse-names":false,"suffix":""},{"dropping-particle":"","family":"Cook","given":"Savannah","non-dropping-particle":"","parse-names":false,"suffix":""},{"dropping-particle":"","family":"Cavanaugh","given":"Christopher","non-dropping-particle":"","parse-names":false,"suffix":""},{"dropping-particle":"","family":"Huang","given":"Sui","non-dropping-particle":"","parse-names":false,"suffix":""},{"dropping-particle":"","family":"Hood","given":"Leroy","non-dropping-particle":"","parse-names":false,"suffix":""}],"container-title":"Proceedings of the National Academy of Sciences of the United States of America","id":"ITEM-1","issue":"9","issued":{"date-parts":[["2017","2","28"]]},"page":"2271-2276","publisher":"National Academy of Sciences","title":"Cell population structure prior to bifurcation predicts efficiency of directed differentiation in human induced pluripotent cells.","type":"article-journal","volume":"114"},"uris":["http://www.mendeley.com/documents/?uuid=b242f0b3-c905-37a9-8c7c-8b96e89f3268"]}],"mendeley":{"formattedCitation":"[1]","plainTextFormattedCitation":"[1]","previouslyFormattedCitation":"[1]"},"properties":{"noteIndex":0},"schema":"https://github.com/citation-style-language/schema/raw/master/csl-citation.json"}</w:instrText>
      </w:r>
      <w:r w:rsidRPr="00642E82">
        <w:rPr>
          <w:rFonts w:cs="Times New Roman"/>
          <w:b/>
          <w:lang w:val="en-US"/>
        </w:rPr>
        <w:fldChar w:fldCharType="separate"/>
      </w:r>
      <w:r w:rsidR="00DE312F" w:rsidRPr="00DE312F">
        <w:rPr>
          <w:rFonts w:cs="Times New Roman"/>
          <w:noProof/>
          <w:lang w:val="en-US"/>
        </w:rPr>
        <w:t>[1]</w:t>
      </w:r>
      <w:r w:rsidRPr="00642E82">
        <w:rPr>
          <w:rFonts w:cs="Times New Roman"/>
          <w:b/>
          <w:lang w:val="en-US"/>
        </w:rPr>
        <w:fldChar w:fldCharType="end"/>
      </w:r>
      <w:r w:rsidRPr="00642E82">
        <w:rPr>
          <w:rFonts w:cs="Times New Roman"/>
          <w:b/>
          <w:lang w:val="en-US"/>
        </w:rPr>
        <w:t xml:space="preserve"> </w:t>
      </w:r>
      <w:r>
        <w:rPr>
          <w:rFonts w:cs="Times New Roman"/>
          <w:b/>
          <w:lang w:val="en-US"/>
        </w:rPr>
        <w:t>considering nine cell clusters</w:t>
      </w:r>
      <w:r w:rsidRPr="00642E82">
        <w:rPr>
          <w:rFonts w:cs="Times New Roman"/>
          <w:b/>
          <w:lang w:val="en-US"/>
        </w:rPr>
        <w:t>.</w:t>
      </w:r>
      <w:r w:rsidRPr="00642E82">
        <w:rPr>
          <w:rFonts w:cs="Times New Roman"/>
          <w:lang w:val="en-US"/>
        </w:rPr>
        <w:t xml:space="preserve"> </w:t>
      </w:r>
      <w:r w:rsidR="0064074C">
        <w:rPr>
          <w:rFonts w:cs="Times New Roman"/>
          <w:lang w:val="en-US"/>
        </w:rPr>
        <w:t xml:space="preserve">The number of clusters were set to nine based on eigengap plot </w:t>
      </w:r>
      <w:r w:rsidR="0064074C">
        <w:rPr>
          <w:rFonts w:cs="Times New Roman"/>
          <w:lang w:val="en-US"/>
        </w:rPr>
        <w:fldChar w:fldCharType="begin" w:fldLock="1"/>
      </w:r>
      <w:r w:rsidR="00083415">
        <w:rPr>
          <w:rFonts w:cs="Times New Roman"/>
          <w:lang w:val="en-US"/>
        </w:rPr>
        <w:instrText>ADDIN CSL_CITATION {"citationItems":[{"id":"ITEM-1","itemData":{"DOI":"10.3389/fbioe.2020.00018","ISSN":"2296-4185","abstract":"We present Clustering and Lineage Inference in Single-Cell Transcriptional Analysis (CALISTA), a numerically efficient and highly scalable toolbox for an end-to-end analysis of single-cell transcriptomic profiles. CALISTA includes four essential single-cell analyses for cell differentiation studies, including single-cell clustering, reconstruction of cell lineage specification, transition gene identification, and cell pseudotime ordering, which can be applied individually or in a pipeline. In these analyses, we employ a likelihood-based approach where single-cell mRNA counts are described by a probabilistic distribution function associated with stochastic gene transcriptional bursts and random technical dropout events. We illustrate the efficacy of CALISTA using single-cell gene expression datasets from different single-cell transcriptional profiling technologies and from a few hundreds to tens of thousands of cells. CALISTA is freely available on https://www.cabselab.com/calista.","author":[{"dropping-particle":"","family":"Papili Gao","given":"Nan","non-dropping-particle":"","parse-names":false,"suffix":""},{"dropping-particle":"","family":"Hartmann","given":"Thomas","non-dropping-particle":"","parse-names":false,"suffix":""},{"dropping-particle":"","family":"Fang","given":"Tao","non-dropping-particle":"","parse-names":false,"suffix":""},{"dropping-particle":"","family":"Gunawan","given":"Rudiyanto","non-dropping-particle":"","parse-names":false,"suffix":""}],"container-title":"Frontiers in Bioengineering and Biotechnology","id":"ITEM-1","issued":{"date-parts":[["2020","2","4"]]},"page":"18","publisher":"Frontiers Media S.A.","title":"CALISTA: Clustering and LINEAGE Inference in Single-Cell Transcriptional Analysis","type":"article-journal","volume":"8"},"uris":["http://www.mendeley.com/documents/?uuid=eb91ac40-28c3-3037-9567-65c69158e972"]}],"mendeley":{"formattedCitation":"[2]","plainTextFormattedCitation":"[2]","previouslyFormattedCitation":"[2]"},"properties":{"noteIndex":0},"schema":"https://github.com/citation-style-language/schema/raw/master/csl-citation.json"}</w:instrText>
      </w:r>
      <w:r w:rsidR="0064074C">
        <w:rPr>
          <w:rFonts w:cs="Times New Roman"/>
          <w:lang w:val="en-US"/>
        </w:rPr>
        <w:fldChar w:fldCharType="separate"/>
      </w:r>
      <w:r w:rsidR="00DE312F" w:rsidRPr="00DE312F">
        <w:rPr>
          <w:rFonts w:cs="Times New Roman"/>
          <w:noProof/>
          <w:lang w:val="en-US"/>
        </w:rPr>
        <w:t>[2]</w:t>
      </w:r>
      <w:r w:rsidR="0064074C">
        <w:rPr>
          <w:rFonts w:cs="Times New Roman"/>
          <w:lang w:val="en-US"/>
        </w:rPr>
        <w:fldChar w:fldCharType="end"/>
      </w:r>
      <w:r w:rsidR="0064074C">
        <w:rPr>
          <w:rFonts w:cs="Times New Roman"/>
          <w:lang w:val="en-US"/>
        </w:rPr>
        <w:t xml:space="preserve">. </w:t>
      </w:r>
      <w:r>
        <w:rPr>
          <w:rFonts w:cs="Times New Roman"/>
          <w:lang w:val="en-US"/>
        </w:rPr>
        <w:t>Expression data were analyzed by using CALISTA for cell clustering, lineage inference, cell ordering and landscape plotting</w:t>
      </w:r>
      <w:r w:rsidRPr="00642E82">
        <w:rPr>
          <w:rFonts w:cs="Times New Roman"/>
          <w:lang w:val="en-US"/>
        </w:rPr>
        <w:t>. Landscape surfaces were depicted for cell clusters (</w:t>
      </w:r>
      <w:r w:rsidRPr="00642E82">
        <w:rPr>
          <w:rFonts w:cs="Times New Roman"/>
          <w:i/>
          <w:lang w:val="en-US"/>
        </w:rPr>
        <w:t>left</w:t>
      </w:r>
      <w:r w:rsidRPr="00642E82">
        <w:rPr>
          <w:rFonts w:cs="Times New Roman"/>
          <w:lang w:val="en-US"/>
        </w:rPr>
        <w:t xml:space="preserve">) and </w:t>
      </w:r>
      <w:proofErr w:type="spellStart"/>
      <w:r w:rsidRPr="00642E82">
        <w:rPr>
          <w:rFonts w:cs="Times New Roman"/>
          <w:lang w:val="en-US"/>
        </w:rPr>
        <w:t>pseudotimes</w:t>
      </w:r>
      <w:proofErr w:type="spellEnd"/>
      <w:r w:rsidRPr="00642E82">
        <w:rPr>
          <w:rFonts w:cs="Times New Roman"/>
          <w:lang w:val="en-US"/>
        </w:rPr>
        <w:t xml:space="preserve"> from blue to yellow (</w:t>
      </w:r>
      <w:r w:rsidRPr="00642E82">
        <w:rPr>
          <w:rFonts w:cs="Times New Roman"/>
          <w:i/>
          <w:lang w:val="en-US"/>
        </w:rPr>
        <w:t>right</w:t>
      </w:r>
      <w:r w:rsidRPr="00642E82">
        <w:rPr>
          <w:rFonts w:cs="Times New Roman"/>
          <w:lang w:val="en-US"/>
        </w:rPr>
        <w:t>).</w:t>
      </w:r>
    </w:p>
    <w:p w14:paraId="75036F86" w14:textId="77777777" w:rsidR="00990FD7" w:rsidRDefault="00990FD7" w:rsidP="00990FD7">
      <w:pPr>
        <w:spacing w:line="360" w:lineRule="auto"/>
        <w:ind w:firstLine="0"/>
        <w:jc w:val="both"/>
        <w:rPr>
          <w:rFonts w:cs="Times New Roman"/>
          <w:lang w:val="en-US"/>
        </w:rPr>
      </w:pPr>
    </w:p>
    <w:p w14:paraId="61C0025A" w14:textId="3D97391E" w:rsidR="00E444CE" w:rsidRDefault="00E444CE" w:rsidP="00A910A5">
      <w:pPr>
        <w:ind w:firstLine="0"/>
        <w:jc w:val="both"/>
        <w:rPr>
          <w:rFonts w:cs="Times New Roman"/>
          <w:lang w:val="en-US"/>
        </w:rPr>
      </w:pPr>
    </w:p>
    <w:p w14:paraId="6D7711DB" w14:textId="57F1D0E8" w:rsidR="00E444CE" w:rsidRDefault="00E444CE" w:rsidP="00642E82">
      <w:pPr>
        <w:ind w:firstLine="0"/>
        <w:rPr>
          <w:noProof/>
        </w:rPr>
      </w:pPr>
      <w:r w:rsidRPr="00E444CE">
        <w:rPr>
          <w:noProof/>
        </w:rPr>
        <w:t xml:space="preserve"> </w:t>
      </w:r>
      <w:r w:rsidRPr="00E444CE">
        <w:rPr>
          <w:noProof/>
        </w:rPr>
        <w:drawing>
          <wp:inline distT="0" distB="0" distL="0" distR="0" wp14:anchorId="490CC0D5" wp14:editId="0DC0163D">
            <wp:extent cx="2555508" cy="1902219"/>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556470" cy="1902935"/>
                    </a:xfrm>
                    <a:prstGeom prst="rect">
                      <a:avLst/>
                    </a:prstGeom>
                  </pic:spPr>
                </pic:pic>
              </a:graphicData>
            </a:graphic>
          </wp:inline>
        </w:drawing>
      </w:r>
      <w:r w:rsidRPr="00E444CE">
        <w:rPr>
          <w:noProof/>
        </w:rPr>
        <w:t xml:space="preserve"> </w:t>
      </w:r>
      <w:r w:rsidRPr="00E444CE">
        <w:rPr>
          <w:noProof/>
        </w:rPr>
        <w:drawing>
          <wp:inline distT="0" distB="0" distL="0" distR="0" wp14:anchorId="199FDE6F" wp14:editId="0A7A5E0D">
            <wp:extent cx="2624913" cy="1917833"/>
            <wp:effectExtent l="0" t="0" r="444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624913" cy="1917833"/>
                    </a:xfrm>
                    <a:prstGeom prst="rect">
                      <a:avLst/>
                    </a:prstGeom>
                  </pic:spPr>
                </pic:pic>
              </a:graphicData>
            </a:graphic>
          </wp:inline>
        </w:drawing>
      </w:r>
    </w:p>
    <w:p w14:paraId="042D6B03" w14:textId="249B26A2" w:rsidR="00E444CE" w:rsidRDefault="00516F10" w:rsidP="00990FD7">
      <w:pPr>
        <w:spacing w:line="360" w:lineRule="auto"/>
        <w:ind w:firstLine="0"/>
        <w:jc w:val="both"/>
        <w:rPr>
          <w:rFonts w:cs="Times New Roman"/>
          <w:lang w:val="en-US"/>
        </w:rPr>
      </w:pPr>
      <w:r>
        <w:rPr>
          <w:rFonts w:cs="Times New Roman"/>
          <w:b/>
          <w:lang w:val="en-US"/>
        </w:rPr>
        <w:t>S4</w:t>
      </w:r>
      <w:r w:rsidR="00FF0BE3">
        <w:rPr>
          <w:rFonts w:cs="Times New Roman"/>
          <w:b/>
          <w:lang w:val="en-US"/>
        </w:rPr>
        <w:t xml:space="preserve"> Fig</w:t>
      </w:r>
      <w:r w:rsidR="00E444CE" w:rsidRPr="00642E82">
        <w:rPr>
          <w:rFonts w:cs="Times New Roman"/>
          <w:b/>
          <w:lang w:val="en-US"/>
        </w:rPr>
        <w:t xml:space="preserve">. Cell likelihood landscape plots for </w:t>
      </w:r>
      <w:proofErr w:type="spellStart"/>
      <w:r w:rsidR="00E444CE" w:rsidRPr="00642E82">
        <w:rPr>
          <w:rFonts w:cs="Times New Roman"/>
          <w:b/>
          <w:lang w:val="en-US"/>
        </w:rPr>
        <w:t>Bargaje</w:t>
      </w:r>
      <w:proofErr w:type="spellEnd"/>
      <w:r w:rsidR="00E444CE" w:rsidRPr="00642E82">
        <w:rPr>
          <w:rFonts w:cs="Times New Roman"/>
          <w:b/>
          <w:lang w:val="en-US"/>
        </w:rPr>
        <w:t xml:space="preserve"> et al. data </w:t>
      </w:r>
      <w:r w:rsidR="00E444CE" w:rsidRPr="00642E82">
        <w:rPr>
          <w:rFonts w:cs="Times New Roman"/>
          <w:b/>
          <w:lang w:val="en-US"/>
        </w:rPr>
        <w:fldChar w:fldCharType="begin" w:fldLock="1"/>
      </w:r>
      <w:r w:rsidR="00083415">
        <w:rPr>
          <w:rFonts w:cs="Times New Roman"/>
          <w:b/>
          <w:lang w:val="en-US"/>
        </w:rPr>
        <w:instrText>ADDIN CSL_CITATION {"citationItems":[{"id":"ITEM-1","itemData":{"DOI":"10.1073/pnas.1621412114","ISSN":"1091-6490","PMID":"28167799","abstract":"Steering the differentiation of induced pluripotent stem cells (iPSCs) toward specific cell types is crucial for patient-specific disease modeling and drug testing. This effort requires the capacity to predict and control when and how multipotent progenitor cells commit to the desired cell fate. Cell fate commitment represents a critical state transition or \"tipping point\" at which complex systems undergo a sudden qualitative shift. To characterize such transitions during iPSC to cardiomyocyte differentiation, we analyzed the gene expression patterns of 96 developmental genes at single-cell resolution. We identified a bifurcation event early in the trajectory when a primitive streak-like cell population segregated into the mesodermal and endodermal lineages. Before this branching point, we could detect the signature of an imminent critical transition: increase in cell heterogeneity and coordination of gene expression. Correlation analysis of gene expression profiles at the tipping point indicates transcription factors that drive the state transition toward each alternative cell fate and their relationships with specific phenotypic readouts. The latter helps us to facilitate small molecule screening for differentiation efficiency. To this end, we set up an analysis of cell population structure at the tipping point after systematic variation of the protocol to bias the differentiation toward mesodermal or endodermal cell lineage. We were able to predict the proportion of cardiomyocytes many days before cells manifest the differentiated phenotype. The analysis of cell populations undergoing a critical state transition thus affords a tool to forecast cell fate outcomes and can be used to optimize differentiation protocols to obtain desired cell populations.","author":[{"dropping-particle":"","family":"Bargaje","given":"Rhishikesh","non-dropping-particle":"","parse-names":false,"suffix":""},{"dropping-particle":"","family":"Trachana","given":"Kalliopi","non-dropping-particle":"","parse-names":false,"suffix":""},{"dropping-particle":"","family":"Shelton","given":"Martin N","non-dropping-particle":"","parse-names":false,"suffix":""},{"dropping-particle":"","family":"McGinnis","given":"Christopher S","non-dropping-particle":"","parse-names":false,"suffix":""},{"dropping-particle":"","family":"Zhou","given":"Joseph X","non-dropping-particle":"","parse-names":false,"suffix":""},{"dropping-particle":"","family":"Chadick","given":"Cora","non-dropping-particle":"","parse-names":false,"suffix":""},{"dropping-particle":"","family":"Cook","given":"Savannah","non-dropping-particle":"","parse-names":false,"suffix":""},{"dropping-particle":"","family":"Cavanaugh","given":"Christopher","non-dropping-particle":"","parse-names":false,"suffix":""},{"dropping-particle":"","family":"Huang","given":"Sui","non-dropping-particle":"","parse-names":false,"suffix":""},{"dropping-particle":"","family":"Hood","given":"Leroy","non-dropping-particle":"","parse-names":false,"suffix":""}],"container-title":"Proceedings of the National Academy of Sciences of the United States of America","id":"ITEM-1","issue":"9","issued":{"date-parts":[["2017","2","28"]]},"page":"2271-2276","publisher":"National Academy of Sciences","title":"Cell population structure prior to bifurcation predicts efficiency of directed differentiation in human induced pluripotent cells.","type":"article-journal","volume":"114"},"uris":["http://www.mendeley.com/documents/?uuid=b242f0b3-c905-37a9-8c7c-8b96e89f3268"]}],"mendeley":{"formattedCitation":"[1]","plainTextFormattedCitation":"[1]","previouslyFormattedCitation":"[1]"},"properties":{"noteIndex":0},"schema":"https://github.com/citation-style-language/schema/raw/master/csl-citation.json"}</w:instrText>
      </w:r>
      <w:r w:rsidR="00E444CE" w:rsidRPr="00642E82">
        <w:rPr>
          <w:rFonts w:cs="Times New Roman"/>
          <w:b/>
          <w:lang w:val="en-US"/>
        </w:rPr>
        <w:fldChar w:fldCharType="separate"/>
      </w:r>
      <w:r w:rsidR="00DE312F" w:rsidRPr="00DE312F">
        <w:rPr>
          <w:rFonts w:cs="Times New Roman"/>
          <w:noProof/>
          <w:lang w:val="en-US"/>
        </w:rPr>
        <w:t>[1]</w:t>
      </w:r>
      <w:r w:rsidR="00E444CE" w:rsidRPr="00642E82">
        <w:rPr>
          <w:rFonts w:cs="Times New Roman"/>
          <w:b/>
          <w:lang w:val="en-US"/>
        </w:rPr>
        <w:fldChar w:fldCharType="end"/>
      </w:r>
      <w:r w:rsidR="00E444CE" w:rsidRPr="00642E82">
        <w:rPr>
          <w:rFonts w:cs="Times New Roman"/>
          <w:b/>
          <w:lang w:val="en-US"/>
        </w:rPr>
        <w:t xml:space="preserve"> </w:t>
      </w:r>
      <w:r w:rsidR="00E444CE">
        <w:rPr>
          <w:rFonts w:cs="Times New Roman"/>
          <w:b/>
          <w:lang w:val="en-US"/>
        </w:rPr>
        <w:t>considering SIMLR cell clusters</w:t>
      </w:r>
      <w:r w:rsidR="00E444CE" w:rsidRPr="00642E82">
        <w:rPr>
          <w:rFonts w:cs="Times New Roman"/>
          <w:b/>
          <w:lang w:val="en-US"/>
        </w:rPr>
        <w:t>.</w:t>
      </w:r>
      <w:r w:rsidR="00E444CE" w:rsidRPr="00642E82">
        <w:rPr>
          <w:rFonts w:cs="Times New Roman"/>
          <w:lang w:val="en-US"/>
        </w:rPr>
        <w:t xml:space="preserve"> </w:t>
      </w:r>
      <w:r w:rsidR="00E444CE">
        <w:rPr>
          <w:rFonts w:cs="Times New Roman"/>
          <w:lang w:val="en-US"/>
        </w:rPr>
        <w:t xml:space="preserve">Subpopulations were identified by applying SIMLR </w:t>
      </w:r>
      <w:r w:rsidR="00E444CE">
        <w:rPr>
          <w:rFonts w:cs="Times New Roman"/>
          <w:lang w:val="en-US"/>
        </w:rPr>
        <w:fldChar w:fldCharType="begin" w:fldLock="1"/>
      </w:r>
      <w:r w:rsidR="00083415">
        <w:rPr>
          <w:rFonts w:cs="Times New Roman"/>
          <w:lang w:val="en-US"/>
        </w:rPr>
        <w:instrText>ADDIN CSL_CITATION {"citationItems":[{"id":"ITEM-1","itemData":{"DOI":"10.1038/nMeth.4207","author":[{"dropping-particle":"","family":"Wang","given":"Bo","non-dropping-particle":"","parse-names":false,"suffix":""},{"dropping-particle":"","family":"Zhu","given":"Junjie","non-dropping-particle":"","parse-names":false,"suffix":""},{"dropping-particle":"","family":"Pierson","given":"Emma","non-dropping-particle":"","parse-names":false,"suffix":""},{"dropping-particle":"","family":"Ramazzotti","given":"Daniele","non-dropping-particle":"","parse-names":false,"suffix":""},{"dropping-particle":"","family":"Batzoglou","given":"Serafim","non-dropping-particle":"","parse-names":false,"suffix":""}],"container-title":"Nature Publishing Group","id":"ITEM-1","issued":{"date-parts":[["2017"]]},"title":"Visualization and analysis of single-cell RNA-seq data by kernel-based similarity learning","type":"article-journal","volume":"14"},"uris":["http://www.mendeley.com/documents/?uuid=d759b92a-104d-351e-b56a-42194ce1b80c"]}],"mendeley":{"formattedCitation":"[3]","plainTextFormattedCitation":"[3]","previouslyFormattedCitation":"[3]"},"properties":{"noteIndex":0},"schema":"https://github.com/citation-style-language/schema/raw/master/csl-citation.json"}</w:instrText>
      </w:r>
      <w:r w:rsidR="00E444CE">
        <w:rPr>
          <w:rFonts w:cs="Times New Roman"/>
          <w:lang w:val="en-US"/>
        </w:rPr>
        <w:fldChar w:fldCharType="separate"/>
      </w:r>
      <w:r w:rsidR="00DE312F" w:rsidRPr="00DE312F">
        <w:rPr>
          <w:rFonts w:cs="Times New Roman"/>
          <w:noProof/>
          <w:lang w:val="en-US"/>
        </w:rPr>
        <w:t>[3]</w:t>
      </w:r>
      <w:r w:rsidR="00E444CE">
        <w:rPr>
          <w:rFonts w:cs="Times New Roman"/>
          <w:lang w:val="en-US"/>
        </w:rPr>
        <w:fldChar w:fldCharType="end"/>
      </w:r>
      <w:r w:rsidR="00E444CE">
        <w:rPr>
          <w:rFonts w:cs="Times New Roman"/>
          <w:lang w:val="en-US"/>
        </w:rPr>
        <w:t xml:space="preserve"> cell clustering. Epigenetic landscapes were reconstructed after inferring the lineage relationships and </w:t>
      </w:r>
      <w:proofErr w:type="spellStart"/>
      <w:r w:rsidR="00E444CE">
        <w:rPr>
          <w:rFonts w:cs="Times New Roman"/>
          <w:lang w:val="en-US"/>
        </w:rPr>
        <w:t>pseudotemporal</w:t>
      </w:r>
      <w:proofErr w:type="spellEnd"/>
      <w:r w:rsidR="00E444CE">
        <w:rPr>
          <w:rFonts w:cs="Times New Roman"/>
          <w:lang w:val="en-US"/>
        </w:rPr>
        <w:t xml:space="preserve"> ordering by CALISTA. L</w:t>
      </w:r>
      <w:r w:rsidR="00E444CE" w:rsidRPr="00642E82">
        <w:rPr>
          <w:rFonts w:cs="Times New Roman"/>
          <w:lang w:val="en-US"/>
        </w:rPr>
        <w:t>andscape surfaces were depicted for cell clusters (</w:t>
      </w:r>
      <w:r w:rsidR="00E444CE" w:rsidRPr="00642E82">
        <w:rPr>
          <w:rFonts w:cs="Times New Roman"/>
          <w:i/>
          <w:lang w:val="en-US"/>
        </w:rPr>
        <w:t>left</w:t>
      </w:r>
      <w:r w:rsidR="00E444CE" w:rsidRPr="00642E82">
        <w:rPr>
          <w:rFonts w:cs="Times New Roman"/>
          <w:lang w:val="en-US"/>
        </w:rPr>
        <w:t xml:space="preserve">) and </w:t>
      </w:r>
      <w:proofErr w:type="spellStart"/>
      <w:r w:rsidR="00E444CE" w:rsidRPr="00642E82">
        <w:rPr>
          <w:rFonts w:cs="Times New Roman"/>
          <w:lang w:val="en-US"/>
        </w:rPr>
        <w:t>pseudotimes</w:t>
      </w:r>
      <w:proofErr w:type="spellEnd"/>
      <w:r w:rsidR="00E444CE" w:rsidRPr="00642E82">
        <w:rPr>
          <w:rFonts w:cs="Times New Roman"/>
          <w:lang w:val="en-US"/>
        </w:rPr>
        <w:t xml:space="preserve"> from blue to yellow (</w:t>
      </w:r>
      <w:r w:rsidR="00E444CE" w:rsidRPr="00642E82">
        <w:rPr>
          <w:rFonts w:cs="Times New Roman"/>
          <w:i/>
          <w:lang w:val="en-US"/>
        </w:rPr>
        <w:t>right</w:t>
      </w:r>
      <w:r w:rsidR="00E444CE" w:rsidRPr="00642E82">
        <w:rPr>
          <w:rFonts w:cs="Times New Roman"/>
          <w:lang w:val="en-US"/>
        </w:rPr>
        <w:t>).</w:t>
      </w:r>
    </w:p>
    <w:p w14:paraId="72E8463F" w14:textId="616AE855" w:rsidR="00E444CE" w:rsidRDefault="00E444CE" w:rsidP="00990FD7">
      <w:pPr>
        <w:spacing w:line="360" w:lineRule="auto"/>
        <w:ind w:firstLine="0"/>
        <w:rPr>
          <w:rFonts w:cs="Times New Roman"/>
          <w:lang w:val="en-US"/>
        </w:rPr>
      </w:pPr>
    </w:p>
    <w:p w14:paraId="5D5FEBE7" w14:textId="5F1AEFEA" w:rsidR="0064074C" w:rsidRDefault="0064074C" w:rsidP="00642E82">
      <w:pPr>
        <w:ind w:firstLine="0"/>
        <w:rPr>
          <w:rFonts w:cs="Times New Roman"/>
          <w:lang w:val="en-US"/>
        </w:rPr>
      </w:pPr>
      <w:r w:rsidRPr="0064074C">
        <w:rPr>
          <w:rFonts w:cs="Times New Roman"/>
          <w:noProof/>
          <w:lang w:val="en-US"/>
        </w:rPr>
        <w:lastRenderedPageBreak/>
        <w:drawing>
          <wp:inline distT="0" distB="0" distL="0" distR="0" wp14:anchorId="3F3ED6F0" wp14:editId="478547A9">
            <wp:extent cx="5727700" cy="270065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27700" cy="2700655"/>
                    </a:xfrm>
                    <a:prstGeom prst="rect">
                      <a:avLst/>
                    </a:prstGeom>
                  </pic:spPr>
                </pic:pic>
              </a:graphicData>
            </a:graphic>
          </wp:inline>
        </w:drawing>
      </w:r>
    </w:p>
    <w:p w14:paraId="1159C41D" w14:textId="1FDA59CC" w:rsidR="0064074C" w:rsidRDefault="0064074C" w:rsidP="00990FD7">
      <w:pPr>
        <w:spacing w:line="360" w:lineRule="auto"/>
        <w:ind w:firstLine="0"/>
        <w:jc w:val="both"/>
        <w:rPr>
          <w:rFonts w:cs="Times New Roman"/>
          <w:lang w:val="en-US"/>
        </w:rPr>
      </w:pPr>
      <w:r w:rsidRPr="00642E82">
        <w:rPr>
          <w:rFonts w:cs="Times New Roman"/>
          <w:b/>
          <w:lang w:val="en-US"/>
        </w:rPr>
        <w:t>S</w:t>
      </w:r>
      <w:r w:rsidR="00516F10">
        <w:rPr>
          <w:rFonts w:cs="Times New Roman"/>
          <w:b/>
          <w:lang w:val="en-US"/>
        </w:rPr>
        <w:t>5</w:t>
      </w:r>
      <w:r w:rsidR="00FF0BE3">
        <w:rPr>
          <w:rFonts w:cs="Times New Roman"/>
          <w:b/>
          <w:lang w:val="en-US"/>
        </w:rPr>
        <w:t xml:space="preserve"> Fig</w:t>
      </w:r>
      <w:r w:rsidRPr="00642E82">
        <w:rPr>
          <w:rFonts w:cs="Times New Roman"/>
          <w:b/>
          <w:lang w:val="en-US"/>
        </w:rPr>
        <w:t xml:space="preserve">. </w:t>
      </w:r>
      <w:r w:rsidR="009C3DA2">
        <w:rPr>
          <w:rFonts w:cs="Times New Roman"/>
          <w:b/>
          <w:lang w:val="en-US"/>
        </w:rPr>
        <w:t xml:space="preserve">Contribution of genes to the </w:t>
      </w:r>
      <w:r w:rsidR="00E23C0C">
        <w:rPr>
          <w:rFonts w:cs="Times New Roman"/>
          <w:b/>
          <w:lang w:val="en-US"/>
        </w:rPr>
        <w:t>uncertainty</w:t>
      </w:r>
      <w:r w:rsidR="009C3DA2">
        <w:rPr>
          <w:rFonts w:cs="Times New Roman"/>
          <w:b/>
          <w:lang w:val="en-US"/>
        </w:rPr>
        <w:t xml:space="preserve"> of each cell in </w:t>
      </w:r>
      <w:proofErr w:type="spellStart"/>
      <w:r w:rsidRPr="00642E82">
        <w:rPr>
          <w:rFonts w:cs="Times New Roman"/>
          <w:b/>
          <w:lang w:val="en-US"/>
        </w:rPr>
        <w:t>Bargaje</w:t>
      </w:r>
      <w:proofErr w:type="spellEnd"/>
      <w:r w:rsidRPr="00642E82">
        <w:rPr>
          <w:rFonts w:cs="Times New Roman"/>
          <w:b/>
          <w:lang w:val="en-US"/>
        </w:rPr>
        <w:t xml:space="preserve"> et al. data </w:t>
      </w:r>
      <w:r w:rsidRPr="00642E82">
        <w:rPr>
          <w:rFonts w:cs="Times New Roman"/>
          <w:b/>
          <w:lang w:val="en-US"/>
        </w:rPr>
        <w:fldChar w:fldCharType="begin" w:fldLock="1"/>
      </w:r>
      <w:r w:rsidR="00083415">
        <w:rPr>
          <w:rFonts w:cs="Times New Roman"/>
          <w:b/>
          <w:lang w:val="en-US"/>
        </w:rPr>
        <w:instrText>ADDIN CSL_CITATION {"citationItems":[{"id":"ITEM-1","itemData":{"DOI":"10.1073/pnas.1621412114","ISSN":"1091-6490","PMID":"28167799","abstract":"Steering the differentiation of induced pluripotent stem cells (iPSCs) toward specific cell types is crucial for patient-specific disease modeling and drug testing. This effort requires the capacity to predict and control when and how multipotent progenitor cells commit to the desired cell fate. Cell fate commitment represents a critical state transition or \"tipping point\" at which complex systems undergo a sudden qualitative shift. To characterize such transitions during iPSC to cardiomyocyte differentiation, we analyzed the gene expression patterns of 96 developmental genes at single-cell resolution. We identified a bifurcation event early in the trajectory when a primitive streak-like cell population segregated into the mesodermal and endodermal lineages. Before this branching point, we could detect the signature of an imminent critical transition: increase in cell heterogeneity and coordination of gene expression. Correlation analysis of gene expression profiles at the tipping point indicates transcription factors that drive the state transition toward each alternative cell fate and their relationships with specific phenotypic readouts. The latter helps us to facilitate small molecule screening for differentiation efficiency. To this end, we set up an analysis of cell population structure at the tipping point after systematic variation of the protocol to bias the differentiation toward mesodermal or endodermal cell lineage. We were able to predict the proportion of cardiomyocytes many days before cells manifest the differentiated phenotype. The analysis of cell populations undergoing a critical state transition thus affords a tool to forecast cell fate outcomes and can be used to optimize differentiation protocols to obtain desired cell populations.","author":[{"dropping-particle":"","family":"Bargaje","given":"Rhishikesh","non-dropping-particle":"","parse-names":false,"suffix":""},{"dropping-particle":"","family":"Trachana","given":"Kalliopi","non-dropping-particle":"","parse-names":false,"suffix":""},{"dropping-particle":"","family":"Shelton","given":"Martin N","non-dropping-particle":"","parse-names":false,"suffix":""},{"dropping-particle":"","family":"McGinnis","given":"Christopher S","non-dropping-particle":"","parse-names":false,"suffix":""},{"dropping-particle":"","family":"Zhou","given":"Joseph X","non-dropping-particle":"","parse-names":false,"suffix":""},{"dropping-particle":"","family":"Chadick","given":"Cora","non-dropping-particle":"","parse-names":false,"suffix":""},{"dropping-particle":"","family":"Cook","given":"Savannah","non-dropping-particle":"","parse-names":false,"suffix":""},{"dropping-particle":"","family":"Cavanaugh","given":"Christopher","non-dropping-particle":"","parse-names":false,"suffix":""},{"dropping-particle":"","family":"Huang","given":"Sui","non-dropping-particle":"","parse-names":false,"suffix":""},{"dropping-particle":"","family":"Hood","given":"Leroy","non-dropping-particle":"","parse-names":false,"suffix":""}],"container-title":"Proceedings of the National Academy of Sciences of the United States of America","id":"ITEM-1","issue":"9","issued":{"date-parts":[["2017","2","28"]]},"page":"2271-2276","publisher":"National Academy of Sciences","title":"Cell population structure prior to bifurcation predicts efficiency of directed differentiation in human induced pluripotent cells.","type":"article-journal","volume":"114"},"uris":["http://www.mendeley.com/documents/?uuid=b242f0b3-c905-37a9-8c7c-8b96e89f3268"]}],"mendeley":{"formattedCitation":"[1]","plainTextFormattedCitation":"[1]","previouslyFormattedCitation":"[1]"},"properties":{"noteIndex":0},"schema":"https://github.com/citation-style-language/schema/raw/master/csl-citation.json"}</w:instrText>
      </w:r>
      <w:r w:rsidRPr="00642E82">
        <w:rPr>
          <w:rFonts w:cs="Times New Roman"/>
          <w:b/>
          <w:lang w:val="en-US"/>
        </w:rPr>
        <w:fldChar w:fldCharType="separate"/>
      </w:r>
      <w:r w:rsidR="00DE312F" w:rsidRPr="00DE312F">
        <w:rPr>
          <w:rFonts w:cs="Times New Roman"/>
          <w:noProof/>
          <w:lang w:val="en-US"/>
        </w:rPr>
        <w:t>[1]</w:t>
      </w:r>
      <w:r w:rsidRPr="00642E82">
        <w:rPr>
          <w:rFonts w:cs="Times New Roman"/>
          <w:b/>
          <w:lang w:val="en-US"/>
        </w:rPr>
        <w:fldChar w:fldCharType="end"/>
      </w:r>
      <w:r w:rsidRPr="00642E82">
        <w:rPr>
          <w:rFonts w:cs="Times New Roman"/>
          <w:b/>
          <w:lang w:val="en-US"/>
        </w:rPr>
        <w:t>.</w:t>
      </w:r>
      <w:r w:rsidRPr="00642E82">
        <w:rPr>
          <w:rFonts w:cs="Times New Roman"/>
          <w:lang w:val="en-US"/>
        </w:rPr>
        <w:t xml:space="preserve"> </w:t>
      </w:r>
      <w:r w:rsidR="00E23C0C">
        <w:rPr>
          <w:rFonts w:cs="Times New Roman"/>
          <w:lang w:val="en-US"/>
        </w:rPr>
        <w:t xml:space="preserve">Heatmap </w:t>
      </w:r>
      <w:r w:rsidRPr="00642E82">
        <w:rPr>
          <w:rFonts w:cs="Times New Roman"/>
          <w:lang w:val="en-US"/>
        </w:rPr>
        <w:t>(</w:t>
      </w:r>
      <w:r w:rsidRPr="00642E82">
        <w:rPr>
          <w:rFonts w:cs="Times New Roman"/>
          <w:i/>
          <w:lang w:val="en-US"/>
        </w:rPr>
        <w:t>left</w:t>
      </w:r>
      <w:r w:rsidRPr="00642E82">
        <w:rPr>
          <w:rFonts w:cs="Times New Roman"/>
          <w:lang w:val="en-US"/>
        </w:rPr>
        <w:t xml:space="preserve">) and </w:t>
      </w:r>
      <w:r w:rsidR="00E23C0C">
        <w:rPr>
          <w:rFonts w:cs="Times New Roman"/>
          <w:lang w:val="en-US"/>
        </w:rPr>
        <w:t>3D plot</w:t>
      </w:r>
      <w:r w:rsidRPr="00642E82">
        <w:rPr>
          <w:rFonts w:cs="Times New Roman"/>
          <w:lang w:val="en-US"/>
        </w:rPr>
        <w:t xml:space="preserve"> (</w:t>
      </w:r>
      <w:r w:rsidRPr="00642E82">
        <w:rPr>
          <w:rFonts w:cs="Times New Roman"/>
          <w:i/>
          <w:lang w:val="en-US"/>
        </w:rPr>
        <w:t>right</w:t>
      </w:r>
      <w:r w:rsidRPr="00642E82">
        <w:rPr>
          <w:rFonts w:cs="Times New Roman"/>
          <w:lang w:val="en-US"/>
        </w:rPr>
        <w:t>)</w:t>
      </w:r>
      <w:r w:rsidR="00E23C0C">
        <w:rPr>
          <w:rFonts w:cs="Times New Roman"/>
          <w:lang w:val="en-US"/>
        </w:rPr>
        <w:t xml:space="preserve"> of NLL value of each gene in each cell</w:t>
      </w:r>
      <w:r w:rsidR="00F84F23">
        <w:rPr>
          <w:rFonts w:cs="Times New Roman"/>
          <w:lang w:val="en-US"/>
        </w:rPr>
        <w:t xml:space="preserve"> (for further details see Methods in </w:t>
      </w:r>
      <w:r w:rsidR="00F84F23">
        <w:rPr>
          <w:rFonts w:cs="Times New Roman"/>
          <w:lang w:val="en-US"/>
        </w:rPr>
        <w:fldChar w:fldCharType="begin" w:fldLock="1"/>
      </w:r>
      <w:r w:rsidR="00083415">
        <w:rPr>
          <w:rFonts w:cs="Times New Roman"/>
          <w:lang w:val="en-US"/>
        </w:rPr>
        <w:instrText>ADDIN CSL_CITATION {"citationItems":[{"id":"ITEM-1","itemData":{"DOI":"10.3389/fbioe.2020.00018","ISSN":"2296-4185","abstract":"We present Clustering and Lineage Inference in Single-Cell Transcriptional Analysis (CALISTA), a numerically efficient and highly scalable toolbox for an end-to-end analysis of single-cell transcriptomic profiles. CALISTA includes four essential single-cell analyses for cell differentiation studies, including single-cell clustering, reconstruction of cell lineage specification, transition gene identification, and cell pseudotime ordering, which can be applied individually or in a pipeline. In these analyses, we employ a likelihood-based approach where single-cell mRNA counts are described by a probabilistic distribution function associated with stochastic gene transcriptional bursts and random technical dropout events. We illustrate the efficacy of CALISTA using single-cell gene expression datasets from different single-cell transcriptional profiling technologies and from a few hundreds to tens of thousands of cells. CALISTA is freely available on https://www.cabselab.com/calista.","author":[{"dropping-particle":"","family":"Papili Gao","given":"Nan","non-dropping-particle":"","parse-names":false,"suffix":""},{"dropping-particle":"","family":"Hartmann","given":"Thomas","non-dropping-particle":"","parse-names":false,"suffix":""},{"dropping-particle":"","family":"Fang","given":"Tao","non-dropping-particle":"","parse-names":false,"suffix":""},{"dropping-particle":"","family":"Gunawan","given":"Rudiyanto","non-dropping-particle":"","parse-names":false,"suffix":""}],"container-title":"Frontiers in Bioengineering and Biotechnology","id":"ITEM-1","issued":{"date-parts":[["2020","2","4"]]},"page":"18","publisher":"Frontiers Media S.A.","title":"CALISTA: Clustering and LINEAGE Inference in Single-Cell Transcriptional Analysis","type":"article-journal","volume":"8"},"uris":["http://www.mendeley.com/documents/?uuid=eb91ac40-28c3-3037-9567-65c69158e972"]}],"mendeley":{"formattedCitation":"[2]","plainTextFormattedCitation":"[2]","previouslyFormattedCitation":"[2]"},"properties":{"noteIndex":0},"schema":"https://github.com/citation-style-language/schema/raw/master/csl-citation.json"}</w:instrText>
      </w:r>
      <w:r w:rsidR="00F84F23">
        <w:rPr>
          <w:rFonts w:cs="Times New Roman"/>
          <w:lang w:val="en-US"/>
        </w:rPr>
        <w:fldChar w:fldCharType="separate"/>
      </w:r>
      <w:r w:rsidR="00DE312F" w:rsidRPr="00DE312F">
        <w:rPr>
          <w:rFonts w:cs="Times New Roman"/>
          <w:noProof/>
          <w:lang w:val="en-US"/>
        </w:rPr>
        <w:t>[2]</w:t>
      </w:r>
      <w:r w:rsidR="00F84F23">
        <w:rPr>
          <w:rFonts w:cs="Times New Roman"/>
          <w:lang w:val="en-US"/>
        </w:rPr>
        <w:fldChar w:fldCharType="end"/>
      </w:r>
      <w:r w:rsidR="00F84F23">
        <w:rPr>
          <w:rFonts w:cs="Times New Roman"/>
          <w:lang w:val="en-US"/>
        </w:rPr>
        <w:t>)</w:t>
      </w:r>
      <w:r w:rsidRPr="00642E82">
        <w:rPr>
          <w:rFonts w:cs="Times New Roman"/>
          <w:lang w:val="en-US"/>
        </w:rPr>
        <w:t>.</w:t>
      </w:r>
      <w:r w:rsidR="00E23C0C">
        <w:rPr>
          <w:rFonts w:cs="Times New Roman"/>
          <w:lang w:val="en-US"/>
        </w:rPr>
        <w:t xml:space="preserve"> Cells were sorted in increasing order of cluster numbers (</w:t>
      </w:r>
      <w:proofErr w:type="gramStart"/>
      <w:r w:rsidR="00E23C0C">
        <w:rPr>
          <w:rFonts w:cs="Times New Roman"/>
          <w:lang w:val="en-US"/>
        </w:rPr>
        <w:t>e.g.</w:t>
      </w:r>
      <w:proofErr w:type="gramEnd"/>
      <w:r w:rsidR="00E23C0C">
        <w:rPr>
          <w:rFonts w:cs="Times New Roman"/>
          <w:lang w:val="en-US"/>
        </w:rPr>
        <w:t xml:space="preserve"> cells in cluste</w:t>
      </w:r>
      <w:r w:rsidR="00667488">
        <w:rPr>
          <w:rFonts w:cs="Times New Roman"/>
          <w:lang w:val="en-US"/>
        </w:rPr>
        <w:t>r</w:t>
      </w:r>
      <w:r w:rsidR="00E23C0C">
        <w:rPr>
          <w:rFonts w:cs="Times New Roman"/>
          <w:lang w:val="en-US"/>
        </w:rPr>
        <w:t xml:space="preserve"> 1, cells in cluster 2, etc.). </w:t>
      </w:r>
      <w:r w:rsidR="00295912">
        <w:rPr>
          <w:rFonts w:cs="Times New Roman"/>
          <w:lang w:val="en-US"/>
        </w:rPr>
        <w:t>Peaks in NLL values can be observed in specific gene sets.</w:t>
      </w:r>
    </w:p>
    <w:p w14:paraId="16B3B32A" w14:textId="06ED13C0" w:rsidR="00990FD7" w:rsidRDefault="00990FD7" w:rsidP="00990FD7">
      <w:pPr>
        <w:spacing w:line="360" w:lineRule="auto"/>
        <w:ind w:firstLine="0"/>
        <w:jc w:val="both"/>
        <w:rPr>
          <w:rFonts w:cs="Times New Roman"/>
          <w:lang w:val="en-US"/>
        </w:rPr>
      </w:pPr>
    </w:p>
    <w:p w14:paraId="501B56C9" w14:textId="77777777" w:rsidR="00990FD7" w:rsidRDefault="00990FD7" w:rsidP="00990FD7">
      <w:pPr>
        <w:spacing w:line="360" w:lineRule="auto"/>
        <w:ind w:firstLine="0"/>
        <w:jc w:val="both"/>
        <w:rPr>
          <w:rFonts w:cs="Times New Roman"/>
          <w:lang w:val="en-US"/>
        </w:rPr>
      </w:pPr>
    </w:p>
    <w:p w14:paraId="2772D5D3" w14:textId="61ABFE64" w:rsidR="0064074C" w:rsidRDefault="00F54C4E" w:rsidP="00642E82">
      <w:pPr>
        <w:ind w:firstLine="0"/>
        <w:rPr>
          <w:rFonts w:cs="Times New Roman"/>
          <w:lang w:val="en-US"/>
        </w:rPr>
      </w:pPr>
      <w:r w:rsidRPr="00F54C4E">
        <w:rPr>
          <w:rFonts w:cs="Times New Roman"/>
          <w:noProof/>
          <w:lang w:val="en-US"/>
        </w:rPr>
        <w:drawing>
          <wp:inline distT="0" distB="0" distL="0" distR="0" wp14:anchorId="0224A552" wp14:editId="3F1978D0">
            <wp:extent cx="5727700" cy="28829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27700" cy="2882900"/>
                    </a:xfrm>
                    <a:prstGeom prst="rect">
                      <a:avLst/>
                    </a:prstGeom>
                  </pic:spPr>
                </pic:pic>
              </a:graphicData>
            </a:graphic>
          </wp:inline>
        </w:drawing>
      </w:r>
    </w:p>
    <w:p w14:paraId="476C96C7" w14:textId="2D41B62A" w:rsidR="00F54C4E" w:rsidRDefault="00F54C4E" w:rsidP="00990FD7">
      <w:pPr>
        <w:spacing w:line="360" w:lineRule="auto"/>
        <w:ind w:firstLine="0"/>
        <w:rPr>
          <w:rFonts w:cs="Times New Roman"/>
          <w:lang w:val="en-US"/>
        </w:rPr>
      </w:pPr>
      <w:r w:rsidRPr="00642E82">
        <w:rPr>
          <w:rFonts w:cs="Times New Roman"/>
          <w:b/>
          <w:lang w:val="en-US"/>
        </w:rPr>
        <w:t>S</w:t>
      </w:r>
      <w:r w:rsidR="00516F10">
        <w:rPr>
          <w:rFonts w:cs="Times New Roman"/>
          <w:b/>
          <w:lang w:val="en-US"/>
        </w:rPr>
        <w:t>6</w:t>
      </w:r>
      <w:r w:rsidR="00FF0BE3">
        <w:rPr>
          <w:rFonts w:cs="Times New Roman"/>
          <w:b/>
          <w:lang w:val="en-US"/>
        </w:rPr>
        <w:t xml:space="preserve"> Fig</w:t>
      </w:r>
      <w:r w:rsidRPr="00642E82">
        <w:rPr>
          <w:rFonts w:cs="Times New Roman"/>
          <w:b/>
          <w:lang w:val="en-US"/>
        </w:rPr>
        <w:t xml:space="preserve">. </w:t>
      </w:r>
      <w:r w:rsidR="00867A7F">
        <w:rPr>
          <w:rFonts w:cs="Times New Roman"/>
          <w:b/>
          <w:lang w:val="en-US"/>
        </w:rPr>
        <w:t>Pathway enrichment analysis for</w:t>
      </w:r>
      <w:r>
        <w:rPr>
          <w:rFonts w:cs="Times New Roman"/>
          <w:b/>
          <w:lang w:val="en-US"/>
        </w:rPr>
        <w:t xml:space="preserve"> </w:t>
      </w:r>
      <w:proofErr w:type="spellStart"/>
      <w:r w:rsidRPr="00642E82">
        <w:rPr>
          <w:rFonts w:cs="Times New Roman"/>
          <w:b/>
          <w:lang w:val="en-US"/>
        </w:rPr>
        <w:t>Bargaje</w:t>
      </w:r>
      <w:proofErr w:type="spellEnd"/>
      <w:r w:rsidRPr="00642E82">
        <w:rPr>
          <w:rFonts w:cs="Times New Roman"/>
          <w:b/>
          <w:lang w:val="en-US"/>
        </w:rPr>
        <w:t xml:space="preserve"> et al. data </w:t>
      </w:r>
      <w:r w:rsidRPr="00642E82">
        <w:rPr>
          <w:rFonts w:cs="Times New Roman"/>
          <w:b/>
          <w:lang w:val="en-US"/>
        </w:rPr>
        <w:fldChar w:fldCharType="begin" w:fldLock="1"/>
      </w:r>
      <w:r w:rsidR="00083415">
        <w:rPr>
          <w:rFonts w:cs="Times New Roman"/>
          <w:b/>
          <w:lang w:val="en-US"/>
        </w:rPr>
        <w:instrText>ADDIN CSL_CITATION {"citationItems":[{"id":"ITEM-1","itemData":{"DOI":"10.1073/pnas.1621412114","ISSN":"1091-6490","PMID":"28167799","abstract":"Steering the differentiation of induced pluripotent stem cells (iPSCs) toward specific cell types is crucial for patient-specific disease modeling and drug testing. This effort requires the capacity to predict and control when and how multipotent progenitor cells commit to the desired cell fate. Cell fate commitment represents a critical state transition or \"tipping point\" at which complex systems undergo a sudden qualitative shift. To characterize such transitions during iPSC to cardiomyocyte differentiation, we analyzed the gene expression patterns of 96 developmental genes at single-cell resolution. We identified a bifurcation event early in the trajectory when a primitive streak-like cell population segregated into the mesodermal and endodermal lineages. Before this branching point, we could detect the signature of an imminent critical transition: increase in cell heterogeneity and coordination of gene expression. Correlation analysis of gene expression profiles at the tipping point indicates transcription factors that drive the state transition toward each alternative cell fate and their relationships with specific phenotypic readouts. The latter helps us to facilitate small molecule screening for differentiation efficiency. To this end, we set up an analysis of cell population structure at the tipping point after systematic variation of the protocol to bias the differentiation toward mesodermal or endodermal cell lineage. We were able to predict the proportion of cardiomyocytes many days before cells manifest the differentiated phenotype. The analysis of cell populations undergoing a critical state transition thus affords a tool to forecast cell fate outcomes and can be used to optimize differentiation protocols to obtain desired cell populations.","author":[{"dropping-particle":"","family":"Bargaje","given":"Rhishikesh","non-dropping-particle":"","parse-names":false,"suffix":""},{"dropping-particle":"","family":"Trachana","given":"Kalliopi","non-dropping-particle":"","parse-names":false,"suffix":""},{"dropping-particle":"","family":"Shelton","given":"Martin N","non-dropping-particle":"","parse-names":false,"suffix":""},{"dropping-particle":"","family":"McGinnis","given":"Christopher S","non-dropping-particle":"","parse-names":false,"suffix":""},{"dropping-particle":"","family":"Zhou","given":"Joseph X","non-dropping-particle":"","parse-names":false,"suffix":""},{"dropping-particle":"","family":"Chadick","given":"Cora","non-dropping-particle":"","parse-names":false,"suffix":""},{"dropping-particle":"","family":"Cook","given":"Savannah","non-dropping-particle":"","parse-names":false,"suffix":""},{"dropping-particle":"","family":"Cavanaugh","given":"Christopher","non-dropping-particle":"","parse-names":false,"suffix":""},{"dropping-particle":"","family":"Huang","given":"Sui","non-dropping-particle":"","parse-names":false,"suffix":""},{"dropping-particle":"","family":"Hood","given":"Leroy","non-dropping-particle":"","parse-names":false,"suffix":""}],"container-title":"Proceedings of the National Academy of Sciences of the United States of America","id":"ITEM-1","issue":"9","issued":{"date-parts":[["2017","2","28"]]},"page":"2271-2276","publisher":"National Academy of Sciences","title":"Cell population structure prior to bifurcation predicts efficiency of directed differentiation in human induced pluripotent cells.","type":"article-journal","volume":"114"},"uris":["http://www.mendeley.com/documents/?uuid=b242f0b3-c905-37a9-8c7c-8b96e89f3268"]}],"mendeley":{"formattedCitation":"[1]","plainTextFormattedCitation":"[1]","previouslyFormattedCitation":"[1]"},"properties":{"noteIndex":0},"schema":"https://github.com/citation-style-language/schema/raw/master/csl-citation.json"}</w:instrText>
      </w:r>
      <w:r w:rsidRPr="00642E82">
        <w:rPr>
          <w:rFonts w:cs="Times New Roman"/>
          <w:b/>
          <w:lang w:val="en-US"/>
        </w:rPr>
        <w:fldChar w:fldCharType="separate"/>
      </w:r>
      <w:r w:rsidR="00DE312F" w:rsidRPr="00DE312F">
        <w:rPr>
          <w:rFonts w:cs="Times New Roman"/>
          <w:noProof/>
          <w:lang w:val="en-US"/>
        </w:rPr>
        <w:t>[1]</w:t>
      </w:r>
      <w:r w:rsidRPr="00642E82">
        <w:rPr>
          <w:rFonts w:cs="Times New Roman"/>
          <w:b/>
          <w:lang w:val="en-US"/>
        </w:rPr>
        <w:fldChar w:fldCharType="end"/>
      </w:r>
      <w:r w:rsidRPr="00642E82">
        <w:rPr>
          <w:rFonts w:cs="Times New Roman"/>
          <w:b/>
          <w:lang w:val="en-US"/>
        </w:rPr>
        <w:t>.</w:t>
      </w:r>
      <w:r w:rsidRPr="00642E82">
        <w:rPr>
          <w:rFonts w:cs="Times New Roman"/>
          <w:lang w:val="en-US"/>
        </w:rPr>
        <w:t xml:space="preserve"> </w:t>
      </w:r>
      <w:r w:rsidR="00867A7F">
        <w:rPr>
          <w:rFonts w:cs="Times New Roman"/>
          <w:lang w:val="en-US"/>
        </w:rPr>
        <w:t xml:space="preserve">The analysis was performed by </w:t>
      </w:r>
      <w:proofErr w:type="spellStart"/>
      <w:r w:rsidR="00867A7F">
        <w:rPr>
          <w:rFonts w:cs="Times New Roman"/>
          <w:lang w:val="en-US"/>
        </w:rPr>
        <w:t>EnrichR</w:t>
      </w:r>
      <w:proofErr w:type="spellEnd"/>
      <w:r w:rsidR="00867A7F">
        <w:rPr>
          <w:rFonts w:cs="Times New Roman"/>
          <w:lang w:val="en-US"/>
        </w:rPr>
        <w:t xml:space="preserve"> </w:t>
      </w:r>
      <w:r w:rsidR="00867A7F">
        <w:rPr>
          <w:rFonts w:cs="Times New Roman"/>
          <w:lang w:val="en-US"/>
        </w:rPr>
        <w:fldChar w:fldCharType="begin" w:fldLock="1"/>
      </w:r>
      <w:r w:rsidR="00083415">
        <w:rPr>
          <w:rFonts w:cs="Times New Roman"/>
          <w:lang w:val="en-US"/>
        </w:rPr>
        <w:instrText>ADDIN CSL_CITATION {"citationItems":[{"id":"ITEM-1","itemData":{"DOI":"10.1186/1471-2105-14-128","ISSN":"1471-2105","author":[{"dropping-particle":"","family":"Chen","given":"Edward Y","non-dropping-particle":"","parse-names":false,"suffix":""},{"dropping-particle":"","family":"Tan","given":"Christopher M","non-dropping-particle":"","parse-names":false,"suffix":""},{"dropping-particle":"","family":"Kou","given":"Yan","non-dropping-particle":"","parse-names":false,"suffix":""},{"dropping-particle":"","family":"Duan","given":"Qiaonan","non-dropping-particle":"","parse-names":false,"suffix":""},{"dropping-particle":"","family":"Wang","given":"Zichen","non-dropping-particle":"","parse-names":false,"suffix":""},{"dropping-particle":"","family":"Meirelles","given":"Gabriela","non-dropping-particle":"","parse-names":false,"suffix":""},{"dropping-particle":"","family":"Clark","given":"Neil R","non-dropping-particle":"","parse-names":false,"suffix":""},{"dropping-particle":"","family":"Ma’ayan","given":"Avi","non-dropping-particle":"","parse-names":false,"suffix":""}],"container-title":"BMC Bioinformatics","id":"ITEM-1","issue":"1","issued":{"date-parts":[["2013"]]},"page":"128","title":"Enrichr: interactive and collaborative HTML5 gene list enrichment analysis tool","type":"article-journal","volume":"14"},"uris":["http://www.mendeley.com/documents/?uuid=b4126631-d00c-328c-9163-ceb4cb95dc22"]}],"mendeley":{"formattedCitation":"[4]","plainTextFormattedCitation":"[4]","previouslyFormattedCitation":"[4]"},"properties":{"noteIndex":0},"schema":"https://github.com/citation-style-language/schema/raw/master/csl-citation.json"}</w:instrText>
      </w:r>
      <w:r w:rsidR="00867A7F">
        <w:rPr>
          <w:rFonts w:cs="Times New Roman"/>
          <w:lang w:val="en-US"/>
        </w:rPr>
        <w:fldChar w:fldCharType="separate"/>
      </w:r>
      <w:r w:rsidR="00DE312F" w:rsidRPr="00DE312F">
        <w:rPr>
          <w:rFonts w:cs="Times New Roman"/>
          <w:noProof/>
          <w:lang w:val="en-US"/>
        </w:rPr>
        <w:t>[4]</w:t>
      </w:r>
      <w:r w:rsidR="00867A7F">
        <w:rPr>
          <w:rFonts w:cs="Times New Roman"/>
          <w:lang w:val="en-US"/>
        </w:rPr>
        <w:fldChar w:fldCharType="end"/>
      </w:r>
      <w:r w:rsidR="00867A7F">
        <w:rPr>
          <w:rFonts w:cs="Times New Roman"/>
          <w:lang w:val="en-US"/>
        </w:rPr>
        <w:t xml:space="preserve"> on the gene set identified for cluster 2 (see main text and </w:t>
      </w:r>
      <w:r w:rsidR="00867A7F" w:rsidRPr="00FF0BE3">
        <w:rPr>
          <w:rFonts w:cs="Times New Roman"/>
          <w:lang w:val="en-US"/>
        </w:rPr>
        <w:t>Table S1</w:t>
      </w:r>
      <w:r w:rsidR="00867A7F">
        <w:rPr>
          <w:rFonts w:cs="Times New Roman"/>
          <w:lang w:val="en-US"/>
        </w:rPr>
        <w:t>).</w:t>
      </w:r>
    </w:p>
    <w:p w14:paraId="1E4B3CEA" w14:textId="1E0CF155" w:rsidR="00F54C4E" w:rsidRDefault="00F54C4E" w:rsidP="00642E82">
      <w:pPr>
        <w:ind w:firstLine="0"/>
        <w:rPr>
          <w:rFonts w:cs="Times New Roman"/>
          <w:lang w:val="en-US"/>
        </w:rPr>
      </w:pPr>
      <w:r>
        <w:rPr>
          <w:rFonts w:cs="Times New Roman"/>
          <w:noProof/>
          <w:lang w:val="en-US"/>
        </w:rPr>
        <w:lastRenderedPageBreak/>
        <w:drawing>
          <wp:inline distT="0" distB="0" distL="0" distR="0" wp14:anchorId="7193091E" wp14:editId="5D0F41F6">
            <wp:extent cx="5727700" cy="3054985"/>
            <wp:effectExtent l="0" t="0" r="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creenshot 2018-12-06 at 19.03.00.png"/>
                    <pic:cNvPicPr/>
                  </pic:nvPicPr>
                  <pic:blipFill>
                    <a:blip r:embed="rId16">
                      <a:extLst>
                        <a:ext uri="{28A0092B-C50C-407E-A947-70E740481C1C}">
                          <a14:useLocalDpi xmlns:a14="http://schemas.microsoft.com/office/drawing/2010/main" val="0"/>
                        </a:ext>
                      </a:extLst>
                    </a:blip>
                    <a:stretch>
                      <a:fillRect/>
                    </a:stretch>
                  </pic:blipFill>
                  <pic:spPr>
                    <a:xfrm>
                      <a:off x="0" y="0"/>
                      <a:ext cx="5727700" cy="3054985"/>
                    </a:xfrm>
                    <a:prstGeom prst="rect">
                      <a:avLst/>
                    </a:prstGeom>
                  </pic:spPr>
                </pic:pic>
              </a:graphicData>
            </a:graphic>
          </wp:inline>
        </w:drawing>
      </w:r>
    </w:p>
    <w:p w14:paraId="50BF6716" w14:textId="1BF504BA" w:rsidR="00867A7F" w:rsidRDefault="00867A7F" w:rsidP="00990FD7">
      <w:pPr>
        <w:spacing w:line="360" w:lineRule="auto"/>
        <w:ind w:firstLine="0"/>
        <w:rPr>
          <w:rFonts w:cs="Times New Roman"/>
          <w:lang w:val="en-US"/>
        </w:rPr>
      </w:pPr>
      <w:r w:rsidRPr="00642E82">
        <w:rPr>
          <w:rFonts w:cs="Times New Roman"/>
          <w:b/>
          <w:lang w:val="en-US"/>
        </w:rPr>
        <w:t>S</w:t>
      </w:r>
      <w:r w:rsidR="00516F10">
        <w:rPr>
          <w:rFonts w:cs="Times New Roman"/>
          <w:b/>
          <w:lang w:val="en-US"/>
        </w:rPr>
        <w:t>7</w:t>
      </w:r>
      <w:r w:rsidR="00FF0BE3">
        <w:rPr>
          <w:rFonts w:cs="Times New Roman"/>
          <w:b/>
          <w:lang w:val="en-US"/>
        </w:rPr>
        <w:t xml:space="preserve"> Fig</w:t>
      </w:r>
      <w:r>
        <w:rPr>
          <w:rFonts w:cs="Times New Roman"/>
          <w:b/>
          <w:lang w:val="en-US"/>
        </w:rPr>
        <w:t>.</w:t>
      </w:r>
      <w:r w:rsidRPr="00642E82">
        <w:rPr>
          <w:rFonts w:cs="Times New Roman"/>
          <w:b/>
          <w:lang w:val="en-US"/>
        </w:rPr>
        <w:t xml:space="preserve"> </w:t>
      </w:r>
      <w:r>
        <w:rPr>
          <w:rFonts w:cs="Times New Roman"/>
          <w:b/>
          <w:lang w:val="en-US"/>
        </w:rPr>
        <w:t xml:space="preserve">Pathway enrichment analysis for </w:t>
      </w:r>
      <w:proofErr w:type="spellStart"/>
      <w:r w:rsidRPr="00642E82">
        <w:rPr>
          <w:rFonts w:cs="Times New Roman"/>
          <w:b/>
          <w:lang w:val="en-US"/>
        </w:rPr>
        <w:t>Bargaje</w:t>
      </w:r>
      <w:proofErr w:type="spellEnd"/>
      <w:r w:rsidRPr="00642E82">
        <w:rPr>
          <w:rFonts w:cs="Times New Roman"/>
          <w:b/>
          <w:lang w:val="en-US"/>
        </w:rPr>
        <w:t xml:space="preserve"> et al. data </w:t>
      </w:r>
      <w:r w:rsidRPr="00642E82">
        <w:rPr>
          <w:rFonts w:cs="Times New Roman"/>
          <w:b/>
          <w:lang w:val="en-US"/>
        </w:rPr>
        <w:fldChar w:fldCharType="begin" w:fldLock="1"/>
      </w:r>
      <w:r w:rsidR="00083415">
        <w:rPr>
          <w:rFonts w:cs="Times New Roman"/>
          <w:b/>
          <w:lang w:val="en-US"/>
        </w:rPr>
        <w:instrText>ADDIN CSL_CITATION {"citationItems":[{"id":"ITEM-1","itemData":{"DOI":"10.1073/pnas.1621412114","ISSN":"1091-6490","PMID":"28167799","abstract":"Steering the differentiation of induced pluripotent stem cells (iPSCs) toward specific cell types is crucial for patient-specific disease modeling and drug testing. This effort requires the capacity to predict and control when and how multipotent progenitor cells commit to the desired cell fate. Cell fate commitment represents a critical state transition or \"tipping point\" at which complex systems undergo a sudden qualitative shift. To characterize such transitions during iPSC to cardiomyocyte differentiation, we analyzed the gene expression patterns of 96 developmental genes at single-cell resolution. We identified a bifurcation event early in the trajectory when a primitive streak-like cell population segregated into the mesodermal and endodermal lineages. Before this branching point, we could detect the signature of an imminent critical transition: increase in cell heterogeneity and coordination of gene expression. Correlation analysis of gene expression profiles at the tipping point indicates transcription factors that drive the state transition toward each alternative cell fate and their relationships with specific phenotypic readouts. The latter helps us to facilitate small molecule screening for differentiation efficiency. To this end, we set up an analysis of cell population structure at the tipping point after systematic variation of the protocol to bias the differentiation toward mesodermal or endodermal cell lineage. We were able to predict the proportion of cardiomyocytes many days before cells manifest the differentiated phenotype. The analysis of cell populations undergoing a critical state transition thus affords a tool to forecast cell fate outcomes and can be used to optimize differentiation protocols to obtain desired cell populations.","author":[{"dropping-particle":"","family":"Bargaje","given":"Rhishikesh","non-dropping-particle":"","parse-names":false,"suffix":""},{"dropping-particle":"","family":"Trachana","given":"Kalliopi","non-dropping-particle":"","parse-names":false,"suffix":""},{"dropping-particle":"","family":"Shelton","given":"Martin N","non-dropping-particle":"","parse-names":false,"suffix":""},{"dropping-particle":"","family":"McGinnis","given":"Christopher S","non-dropping-particle":"","parse-names":false,"suffix":""},{"dropping-particle":"","family":"Zhou","given":"Joseph X","non-dropping-particle":"","parse-names":false,"suffix":""},{"dropping-particle":"","family":"Chadick","given":"Cora","non-dropping-particle":"","parse-names":false,"suffix":""},{"dropping-particle":"","family":"Cook","given":"Savannah","non-dropping-particle":"","parse-names":false,"suffix":""},{"dropping-particle":"","family":"Cavanaugh","given":"Christopher","non-dropping-particle":"","parse-names":false,"suffix":""},{"dropping-particle":"","family":"Huang","given":"Sui","non-dropping-particle":"","parse-names":false,"suffix":""},{"dropping-particle":"","family":"Hood","given":"Leroy","non-dropping-particle":"","parse-names":false,"suffix":""}],"container-title":"Proceedings of the National Academy of Sciences of the United States of America","id":"ITEM-1","issue":"9","issued":{"date-parts":[["2017","2","28"]]},"page":"2271-2276","publisher":"National Academy of Sciences","title":"Cell population structure prior to bifurcation predicts efficiency of directed differentiation in human induced pluripotent cells.","type":"article-journal","volume":"114"},"uris":["http://www.mendeley.com/documents/?uuid=b242f0b3-c905-37a9-8c7c-8b96e89f3268"]}],"mendeley":{"formattedCitation":"[1]","plainTextFormattedCitation":"[1]","previouslyFormattedCitation":"[1]"},"properties":{"noteIndex":0},"schema":"https://github.com/citation-style-language/schema/raw/master/csl-citation.json"}</w:instrText>
      </w:r>
      <w:r w:rsidRPr="00642E82">
        <w:rPr>
          <w:rFonts w:cs="Times New Roman"/>
          <w:b/>
          <w:lang w:val="en-US"/>
        </w:rPr>
        <w:fldChar w:fldCharType="separate"/>
      </w:r>
      <w:r w:rsidR="00DE312F" w:rsidRPr="00DE312F">
        <w:rPr>
          <w:rFonts w:cs="Times New Roman"/>
          <w:noProof/>
          <w:lang w:val="en-US"/>
        </w:rPr>
        <w:t>[1]</w:t>
      </w:r>
      <w:r w:rsidRPr="00642E82">
        <w:rPr>
          <w:rFonts w:cs="Times New Roman"/>
          <w:b/>
          <w:lang w:val="en-US"/>
        </w:rPr>
        <w:fldChar w:fldCharType="end"/>
      </w:r>
      <w:r w:rsidRPr="00642E82">
        <w:rPr>
          <w:rFonts w:cs="Times New Roman"/>
          <w:b/>
          <w:lang w:val="en-US"/>
        </w:rPr>
        <w:t>.</w:t>
      </w:r>
      <w:r w:rsidRPr="00642E82">
        <w:rPr>
          <w:rFonts w:cs="Times New Roman"/>
          <w:lang w:val="en-US"/>
        </w:rPr>
        <w:t xml:space="preserve"> </w:t>
      </w:r>
      <w:r>
        <w:rPr>
          <w:rFonts w:cs="Times New Roman"/>
          <w:lang w:val="en-US"/>
        </w:rPr>
        <w:t xml:space="preserve">The analysis was performed by </w:t>
      </w:r>
      <w:proofErr w:type="spellStart"/>
      <w:r>
        <w:rPr>
          <w:rFonts w:cs="Times New Roman"/>
          <w:lang w:val="en-US"/>
        </w:rPr>
        <w:t>EnrichR</w:t>
      </w:r>
      <w:proofErr w:type="spellEnd"/>
      <w:r>
        <w:rPr>
          <w:rFonts w:cs="Times New Roman"/>
          <w:lang w:val="en-US"/>
        </w:rPr>
        <w:t xml:space="preserve"> </w:t>
      </w:r>
      <w:r>
        <w:rPr>
          <w:rFonts w:cs="Times New Roman"/>
          <w:lang w:val="en-US"/>
        </w:rPr>
        <w:fldChar w:fldCharType="begin" w:fldLock="1"/>
      </w:r>
      <w:r w:rsidR="00083415">
        <w:rPr>
          <w:rFonts w:cs="Times New Roman"/>
          <w:lang w:val="en-US"/>
        </w:rPr>
        <w:instrText>ADDIN CSL_CITATION {"citationItems":[{"id":"ITEM-1","itemData":{"DOI":"10.1186/1471-2105-14-128","ISSN":"1471-2105","author":[{"dropping-particle":"","family":"Chen","given":"Edward Y","non-dropping-particle":"","parse-names":false,"suffix":""},{"dropping-particle":"","family":"Tan","given":"Christopher M","non-dropping-particle":"","parse-names":false,"suffix":""},{"dropping-particle":"","family":"Kou","given":"Yan","non-dropping-particle":"","parse-names":false,"suffix":""},{"dropping-particle":"","family":"Duan","given":"Qiaonan","non-dropping-particle":"","parse-names":false,"suffix":""},{"dropping-particle":"","family":"Wang","given":"Zichen","non-dropping-particle":"","parse-names":false,"suffix":""},{"dropping-particle":"","family":"Meirelles","given":"Gabriela","non-dropping-particle":"","parse-names":false,"suffix":""},{"dropping-particle":"","family":"Clark","given":"Neil R","non-dropping-particle":"","parse-names":false,"suffix":""},{"dropping-particle":"","family":"Ma’ayan","given":"Avi","non-dropping-particle":"","parse-names":false,"suffix":""}],"container-title":"BMC Bioinformatics","id":"ITEM-1","issue":"1","issued":{"date-parts":[["2013"]]},"page":"128","title":"Enrichr: interactive and collaborative HTML5 gene list enrichment analysis tool","type":"article-journal","volume":"14"},"uris":["http://www.mendeley.com/documents/?uuid=b4126631-d00c-328c-9163-ceb4cb95dc22"]}],"mendeley":{"formattedCitation":"[4]","plainTextFormattedCitation":"[4]","previouslyFormattedCitation":"[4]"},"properties":{"noteIndex":0},"schema":"https://github.com/citation-style-language/schema/raw/master/csl-citation.json"}</w:instrText>
      </w:r>
      <w:r>
        <w:rPr>
          <w:rFonts w:cs="Times New Roman"/>
          <w:lang w:val="en-US"/>
        </w:rPr>
        <w:fldChar w:fldCharType="separate"/>
      </w:r>
      <w:r w:rsidR="00DE312F" w:rsidRPr="00DE312F">
        <w:rPr>
          <w:rFonts w:cs="Times New Roman"/>
          <w:noProof/>
          <w:lang w:val="en-US"/>
        </w:rPr>
        <w:t>[4]</w:t>
      </w:r>
      <w:r>
        <w:rPr>
          <w:rFonts w:cs="Times New Roman"/>
          <w:lang w:val="en-US"/>
        </w:rPr>
        <w:fldChar w:fldCharType="end"/>
      </w:r>
      <w:r>
        <w:rPr>
          <w:rFonts w:cs="Times New Roman"/>
          <w:lang w:val="en-US"/>
        </w:rPr>
        <w:t xml:space="preserve"> on the gene set identified for cluster 3 (see main text and </w:t>
      </w:r>
      <w:r w:rsidRPr="00FF0BE3">
        <w:rPr>
          <w:rFonts w:cs="Times New Roman"/>
          <w:lang w:val="en-US"/>
        </w:rPr>
        <w:t>Table S1</w:t>
      </w:r>
      <w:r>
        <w:rPr>
          <w:rFonts w:cs="Times New Roman"/>
          <w:lang w:val="en-US"/>
        </w:rPr>
        <w:t>).</w:t>
      </w:r>
    </w:p>
    <w:p w14:paraId="745A5B90" w14:textId="5B7B338E" w:rsidR="001D5452" w:rsidRDefault="001D5452" w:rsidP="00867A7F">
      <w:pPr>
        <w:ind w:firstLine="0"/>
        <w:rPr>
          <w:rFonts w:cs="Times New Roman"/>
          <w:lang w:val="en-US"/>
        </w:rPr>
      </w:pPr>
    </w:p>
    <w:p w14:paraId="2075B47E" w14:textId="77777777" w:rsidR="00990FD7" w:rsidRDefault="00990FD7" w:rsidP="00867A7F">
      <w:pPr>
        <w:ind w:firstLine="0"/>
        <w:rPr>
          <w:rFonts w:cs="Times New Roman"/>
          <w:lang w:val="en-US"/>
        </w:rPr>
      </w:pPr>
    </w:p>
    <w:p w14:paraId="785C490C" w14:textId="7BB69C3F" w:rsidR="00F54C4E" w:rsidRDefault="00041421" w:rsidP="00041421">
      <w:pPr>
        <w:ind w:firstLine="0"/>
        <w:jc w:val="center"/>
        <w:rPr>
          <w:rFonts w:cs="Times New Roman"/>
          <w:lang w:val="en-US"/>
        </w:rPr>
      </w:pPr>
      <w:r w:rsidRPr="00041421">
        <w:rPr>
          <w:rFonts w:cs="Times New Roman"/>
          <w:noProof/>
          <w:lang w:val="en-US"/>
        </w:rPr>
        <w:drawing>
          <wp:inline distT="0" distB="0" distL="0" distR="0" wp14:anchorId="6A5E1CE2" wp14:editId="10C9EEA4">
            <wp:extent cx="5133703" cy="1381888"/>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181549" cy="1394767"/>
                    </a:xfrm>
                    <a:prstGeom prst="rect">
                      <a:avLst/>
                    </a:prstGeom>
                  </pic:spPr>
                </pic:pic>
              </a:graphicData>
            </a:graphic>
          </wp:inline>
        </w:drawing>
      </w:r>
    </w:p>
    <w:p w14:paraId="2795100E" w14:textId="2C49F4C1" w:rsidR="00041421" w:rsidRDefault="00041421" w:rsidP="00041421">
      <w:pPr>
        <w:ind w:firstLine="0"/>
        <w:jc w:val="center"/>
        <w:rPr>
          <w:rFonts w:cs="Times New Roman"/>
          <w:lang w:val="en-US"/>
        </w:rPr>
      </w:pPr>
      <w:r w:rsidRPr="00041421">
        <w:rPr>
          <w:rFonts w:cs="Times New Roman"/>
          <w:noProof/>
          <w:lang w:val="en-US"/>
        </w:rPr>
        <w:drawing>
          <wp:inline distT="0" distB="0" distL="0" distR="0" wp14:anchorId="4547F3FD" wp14:editId="7F996F62">
            <wp:extent cx="1998617" cy="1585110"/>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050165" cy="1625993"/>
                    </a:xfrm>
                    <a:prstGeom prst="rect">
                      <a:avLst/>
                    </a:prstGeom>
                  </pic:spPr>
                </pic:pic>
              </a:graphicData>
            </a:graphic>
          </wp:inline>
        </w:drawing>
      </w:r>
      <w:r w:rsidRPr="00041421">
        <w:rPr>
          <w:rFonts w:cs="Times New Roman"/>
          <w:noProof/>
          <w:lang w:val="en-US"/>
        </w:rPr>
        <w:drawing>
          <wp:inline distT="0" distB="0" distL="0" distR="0" wp14:anchorId="4CC1FCAD" wp14:editId="71997F3B">
            <wp:extent cx="1954314" cy="1580606"/>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027181" cy="1639539"/>
                    </a:xfrm>
                    <a:prstGeom prst="rect">
                      <a:avLst/>
                    </a:prstGeom>
                  </pic:spPr>
                </pic:pic>
              </a:graphicData>
            </a:graphic>
          </wp:inline>
        </w:drawing>
      </w:r>
    </w:p>
    <w:p w14:paraId="3A635C2E" w14:textId="523CE5AB" w:rsidR="008A2632" w:rsidRDefault="00411785" w:rsidP="00990FD7">
      <w:pPr>
        <w:spacing w:line="360" w:lineRule="auto"/>
        <w:ind w:firstLine="0"/>
        <w:jc w:val="both"/>
        <w:rPr>
          <w:rFonts w:cs="Times New Roman"/>
          <w:lang w:val="en-US"/>
        </w:rPr>
      </w:pPr>
      <w:r w:rsidRPr="00642E82">
        <w:rPr>
          <w:rFonts w:cs="Times New Roman"/>
          <w:b/>
          <w:lang w:val="en-US"/>
        </w:rPr>
        <w:t>S</w:t>
      </w:r>
      <w:r w:rsidR="00516F10">
        <w:rPr>
          <w:rFonts w:cs="Times New Roman"/>
          <w:b/>
          <w:lang w:val="en-US"/>
        </w:rPr>
        <w:t>8</w:t>
      </w:r>
      <w:r w:rsidR="00FF0BE3">
        <w:rPr>
          <w:rFonts w:cs="Times New Roman"/>
          <w:b/>
          <w:lang w:val="en-US"/>
        </w:rPr>
        <w:t xml:space="preserve"> Fig</w:t>
      </w:r>
      <w:r>
        <w:rPr>
          <w:rFonts w:cs="Times New Roman"/>
          <w:b/>
          <w:lang w:val="en-US"/>
        </w:rPr>
        <w:t>.</w:t>
      </w:r>
      <w:r w:rsidRPr="00642E82">
        <w:rPr>
          <w:rFonts w:cs="Times New Roman"/>
          <w:b/>
          <w:lang w:val="en-US"/>
        </w:rPr>
        <w:t xml:space="preserve"> </w:t>
      </w:r>
      <w:r>
        <w:rPr>
          <w:rFonts w:cs="Times New Roman"/>
          <w:b/>
          <w:lang w:val="en-US"/>
        </w:rPr>
        <w:t>CALISTA analysis for Richard</w:t>
      </w:r>
      <w:r w:rsidRPr="00642E82">
        <w:rPr>
          <w:rFonts w:cs="Times New Roman"/>
          <w:b/>
          <w:lang w:val="en-US"/>
        </w:rPr>
        <w:t xml:space="preserve"> et al. data </w:t>
      </w:r>
      <w:r w:rsidRPr="00642E82">
        <w:rPr>
          <w:rFonts w:cs="Times New Roman"/>
          <w:b/>
          <w:lang w:val="en-US"/>
        </w:rPr>
        <w:fldChar w:fldCharType="begin" w:fldLock="1"/>
      </w:r>
      <w:r w:rsidR="00083415">
        <w:rPr>
          <w:rFonts w:cs="Times New Roman"/>
          <w:b/>
          <w:lang w:val="en-US"/>
        </w:rPr>
        <w:instrText>ADDIN CSL_CITATION {"citationItems":[{"id":"ITEM-1","itemData":{"DOI":"10.1371/journal.pbio.1002585","ISSN":"1545-7885","author":[{"dropping-particle":"","family":"Richard","given":"Angélique","non-dropping-particle":"","parse-names":false,"suffix":""},{"dropping-particle":"","family":"Boullu","given":"Loïs","non-dropping-particle":"","parse-names":false,"suffix":""},{"dropping-particle":"","family":"Herbach","given":"Ulysse","non-dropping-particle":"","parse-names":false,"suffix":""},{"dropping-particle":"","family":"Bonnafoux","given":"Arnaud","non-dropping-particle":"","parse-names":false,"suffix":""},{"dropping-particle":"","family":"Morin","given":"Valérie","non-dropping-particle":"","parse-names":false,"suffix":""},{"dropping-particle":"","family":"Vallin","given":"Elodie","non-dropping-particle":"","parse-names":false,"suffix":""},{"dropping-particle":"","family":"Guillemin","given":"Anissa","non-dropping-particle":"","parse-names":false,"suffix":""},{"dropping-particle":"","family":"Papili Gao","given":"Nan","non-dropping-particle":"","parse-names":false,"suffix":""},{"dropping-particle":"","family":"Gunawan","given":"Rudiyanto","non-dropping-particle":"","parse-names":false,"suffix":""},{"dropping-particle":"","family":"Cosette","given":"Jérémie","non-dropping-particle":"","parse-names":false,"suffix":""},{"dropping-particle":"","family":"Arnaud","given":"Ophélie","non-dropping-particle":"","parse-names":false,"suffix":""},{"dropping-particle":"","family":"Kupiec","given":"Jean-Jacques","non-dropping-particle":"","parse-names":false,"suffix":""},{"dropping-particle":"","family":"Espinasse","given":"Thibault","non-dropping-particle":"","parse-names":false,"suffix":""},{"dropping-particle":"","family":"Gonin-Giraud","given":"Sandrine","non-dropping-particle":"","parse-names":false,"suffix":""},{"dropping-particle":"","family":"Gandrillon","given":"Olivier","non-dropping-particle":"","parse-names":false,"suffix":""}],"container-title":"PLOS Biology","editor":[{"dropping-particle":"","family":"Teichmann","given":"Sarah A.","non-dropping-particle":"","parse-names":false,"suffix":""}],"id":"ITEM-1","issue":"12","issued":{"date-parts":[["2016","12","27"]]},"page":"e1002585","publisher":"Public Library of Science","title":"Single-Cell-Based Analysis Highlights a Surge in Cell-to-Cell Molecular Variability Preceding Irreversible Commitment in a Differentiation Process","type":"article-journal","volume":"14"},"uris":["http://www.mendeley.com/documents/?uuid=cc8e2cc2-1048-3048-be97-14a9d3019464"]}],"mendeley":{"formattedCitation":"[5]","plainTextFormattedCitation":"[5]","previouslyFormattedCitation":"[5]"},"properties":{"noteIndex":0},"schema":"https://github.com/citation-style-language/schema/raw/master/csl-citation.json"}</w:instrText>
      </w:r>
      <w:r w:rsidRPr="00642E82">
        <w:rPr>
          <w:rFonts w:cs="Times New Roman"/>
          <w:b/>
          <w:lang w:val="en-US"/>
        </w:rPr>
        <w:fldChar w:fldCharType="separate"/>
      </w:r>
      <w:r w:rsidR="00DE312F" w:rsidRPr="00DE312F">
        <w:rPr>
          <w:rFonts w:cs="Times New Roman"/>
          <w:noProof/>
          <w:lang w:val="en-US"/>
        </w:rPr>
        <w:t>[5]</w:t>
      </w:r>
      <w:r w:rsidRPr="00642E82">
        <w:rPr>
          <w:rFonts w:cs="Times New Roman"/>
          <w:b/>
          <w:lang w:val="en-US"/>
        </w:rPr>
        <w:fldChar w:fldCharType="end"/>
      </w:r>
      <w:r w:rsidRPr="00642E82">
        <w:rPr>
          <w:rFonts w:cs="Times New Roman"/>
          <w:b/>
          <w:lang w:val="en-US"/>
        </w:rPr>
        <w:t>.</w:t>
      </w:r>
      <w:r w:rsidRPr="00642E82">
        <w:rPr>
          <w:rFonts w:cs="Times New Roman"/>
          <w:lang w:val="en-US"/>
        </w:rPr>
        <w:t xml:space="preserve"> </w:t>
      </w:r>
      <w:r>
        <w:rPr>
          <w:rFonts w:cs="Times New Roman"/>
          <w:lang w:val="en-US"/>
        </w:rPr>
        <w:t>The plots show the expression data based on the original time info (</w:t>
      </w:r>
      <w:r w:rsidR="00EF729B" w:rsidRPr="00EF729B">
        <w:rPr>
          <w:rFonts w:cs="Times New Roman"/>
          <w:i/>
          <w:lang w:val="en-US"/>
        </w:rPr>
        <w:t>t</w:t>
      </w:r>
      <w:r w:rsidRPr="00EF729B">
        <w:rPr>
          <w:rFonts w:cs="Times New Roman"/>
          <w:i/>
          <w:lang w:val="en-US"/>
        </w:rPr>
        <w:t>op left</w:t>
      </w:r>
      <w:r>
        <w:rPr>
          <w:rFonts w:cs="Times New Roman"/>
          <w:lang w:val="en-US"/>
        </w:rPr>
        <w:t xml:space="preserve">), </w:t>
      </w:r>
      <w:r w:rsidR="00EF729B">
        <w:rPr>
          <w:rFonts w:cs="Times New Roman"/>
          <w:lang w:val="en-US"/>
        </w:rPr>
        <w:t>cell clustering assignments (</w:t>
      </w:r>
      <w:r w:rsidR="00EF729B" w:rsidRPr="00EF729B">
        <w:rPr>
          <w:rFonts w:cs="Times New Roman"/>
          <w:i/>
          <w:lang w:val="en-US"/>
        </w:rPr>
        <w:t>top right</w:t>
      </w:r>
      <w:r w:rsidR="00EF729B">
        <w:rPr>
          <w:rFonts w:cs="Times New Roman"/>
          <w:lang w:val="en-US"/>
        </w:rPr>
        <w:t>), inferred lineage relationships (</w:t>
      </w:r>
      <w:r w:rsidR="00EF729B" w:rsidRPr="00EF729B">
        <w:rPr>
          <w:rFonts w:cs="Times New Roman"/>
          <w:i/>
          <w:lang w:val="en-US"/>
        </w:rPr>
        <w:t>bottom left</w:t>
      </w:r>
      <w:r w:rsidR="00EF729B">
        <w:rPr>
          <w:rFonts w:cs="Times New Roman"/>
          <w:lang w:val="en-US"/>
        </w:rPr>
        <w:t>), and cell ordering (</w:t>
      </w:r>
      <w:r w:rsidR="00EF729B" w:rsidRPr="00EF729B">
        <w:rPr>
          <w:rFonts w:cs="Times New Roman"/>
          <w:i/>
          <w:lang w:val="en-US"/>
        </w:rPr>
        <w:t>bottom right</w:t>
      </w:r>
      <w:r w:rsidR="00EF729B">
        <w:rPr>
          <w:rFonts w:cs="Times New Roman"/>
          <w:lang w:val="en-US"/>
        </w:rPr>
        <w:t>).</w:t>
      </w:r>
    </w:p>
    <w:p w14:paraId="66DD3581" w14:textId="77777777" w:rsidR="008F4039" w:rsidRDefault="008F4039" w:rsidP="00411785">
      <w:pPr>
        <w:ind w:firstLine="0"/>
        <w:rPr>
          <w:rFonts w:cs="Times New Roman"/>
          <w:lang w:val="en-US"/>
        </w:rPr>
      </w:pPr>
    </w:p>
    <w:p w14:paraId="686C94F4" w14:textId="2A12B6FB" w:rsidR="008A2632" w:rsidRDefault="008A2632" w:rsidP="008A2632">
      <w:pPr>
        <w:ind w:firstLine="0"/>
        <w:jc w:val="center"/>
        <w:rPr>
          <w:rFonts w:cs="Times New Roman"/>
          <w:lang w:val="en-US"/>
        </w:rPr>
      </w:pPr>
      <w:r w:rsidRPr="008A2632">
        <w:rPr>
          <w:rFonts w:cs="Times New Roman"/>
          <w:noProof/>
          <w:lang w:val="en-US"/>
        </w:rPr>
        <w:lastRenderedPageBreak/>
        <w:drawing>
          <wp:inline distT="0" distB="0" distL="0" distR="0" wp14:anchorId="2B0294B9" wp14:editId="5AE3BCA8">
            <wp:extent cx="4651065" cy="1645920"/>
            <wp:effectExtent l="0" t="0" r="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651065" cy="1645920"/>
                    </a:xfrm>
                    <a:prstGeom prst="rect">
                      <a:avLst/>
                    </a:prstGeom>
                  </pic:spPr>
                </pic:pic>
              </a:graphicData>
            </a:graphic>
          </wp:inline>
        </w:drawing>
      </w:r>
    </w:p>
    <w:p w14:paraId="2C3F4816" w14:textId="6DDE79EA" w:rsidR="00411785" w:rsidRDefault="001D5452" w:rsidP="008A2632">
      <w:pPr>
        <w:ind w:firstLine="0"/>
        <w:jc w:val="center"/>
        <w:rPr>
          <w:noProof/>
        </w:rPr>
      </w:pPr>
      <w:r w:rsidRPr="008A2632">
        <w:rPr>
          <w:rFonts w:cs="Times New Roman"/>
          <w:noProof/>
          <w:lang w:val="en-US"/>
        </w:rPr>
        <w:drawing>
          <wp:inline distT="0" distB="0" distL="0" distR="0" wp14:anchorId="0AF801B8" wp14:editId="5289E4C0">
            <wp:extent cx="2084699" cy="14630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084699" cy="1463040"/>
                    </a:xfrm>
                    <a:prstGeom prst="rect">
                      <a:avLst/>
                    </a:prstGeom>
                  </pic:spPr>
                </pic:pic>
              </a:graphicData>
            </a:graphic>
          </wp:inline>
        </w:drawing>
      </w:r>
      <w:r w:rsidR="008A2632" w:rsidRPr="008A2632">
        <w:rPr>
          <w:rFonts w:cs="Times New Roman"/>
          <w:noProof/>
          <w:lang w:val="en-US"/>
        </w:rPr>
        <w:drawing>
          <wp:inline distT="0" distB="0" distL="0" distR="0" wp14:anchorId="7F2C44A0" wp14:editId="782C93D8">
            <wp:extent cx="2043031" cy="146304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043031" cy="1463040"/>
                    </a:xfrm>
                    <a:prstGeom prst="rect">
                      <a:avLst/>
                    </a:prstGeom>
                  </pic:spPr>
                </pic:pic>
              </a:graphicData>
            </a:graphic>
          </wp:inline>
        </w:drawing>
      </w:r>
    </w:p>
    <w:p w14:paraId="2CAEC505" w14:textId="5E99FA72" w:rsidR="008A2632" w:rsidRDefault="008A2632" w:rsidP="00990FD7">
      <w:pPr>
        <w:spacing w:line="360" w:lineRule="auto"/>
        <w:ind w:firstLine="0"/>
        <w:jc w:val="both"/>
        <w:rPr>
          <w:rFonts w:cs="Times New Roman"/>
          <w:lang w:val="en-US"/>
        </w:rPr>
      </w:pPr>
      <w:r w:rsidRPr="00642E82">
        <w:rPr>
          <w:rFonts w:cs="Times New Roman"/>
          <w:b/>
          <w:lang w:val="en-US"/>
        </w:rPr>
        <w:t>S</w:t>
      </w:r>
      <w:r w:rsidR="00516F10">
        <w:rPr>
          <w:rFonts w:cs="Times New Roman"/>
          <w:b/>
          <w:lang w:val="en-US"/>
        </w:rPr>
        <w:t>9</w:t>
      </w:r>
      <w:r w:rsidR="00FF0BE3">
        <w:rPr>
          <w:rFonts w:cs="Times New Roman"/>
          <w:b/>
          <w:lang w:val="en-US"/>
        </w:rPr>
        <w:t xml:space="preserve"> Fig</w:t>
      </w:r>
      <w:r>
        <w:rPr>
          <w:rFonts w:cs="Times New Roman"/>
          <w:b/>
          <w:lang w:val="en-US"/>
        </w:rPr>
        <w:t>.</w:t>
      </w:r>
      <w:r w:rsidRPr="00642E82">
        <w:rPr>
          <w:rFonts w:cs="Times New Roman"/>
          <w:b/>
          <w:lang w:val="en-US"/>
        </w:rPr>
        <w:t xml:space="preserve"> </w:t>
      </w:r>
      <w:r>
        <w:rPr>
          <w:rFonts w:cs="Times New Roman"/>
          <w:b/>
          <w:lang w:val="en-US"/>
        </w:rPr>
        <w:t>CALISTA analysis for Stumpf</w:t>
      </w:r>
      <w:r w:rsidRPr="00642E82">
        <w:rPr>
          <w:rFonts w:cs="Times New Roman"/>
          <w:b/>
          <w:lang w:val="en-US"/>
        </w:rPr>
        <w:t xml:space="preserve"> et al. data </w:t>
      </w:r>
      <w:r w:rsidRPr="00642E82">
        <w:rPr>
          <w:rFonts w:cs="Times New Roman"/>
          <w:b/>
          <w:lang w:val="en-US"/>
        </w:rPr>
        <w:fldChar w:fldCharType="begin" w:fldLock="1"/>
      </w:r>
      <w:r w:rsidR="00083415">
        <w:rPr>
          <w:rFonts w:cs="Times New Roman"/>
          <w:b/>
          <w:lang w:val="en-US"/>
        </w:rPr>
        <w:instrText>ADDIN CSL_CITATION {"citationItems":[{"id":"ITEM-1","itemData":{"DOI":"10.1016/j.cels.2017.08.009","ISSN":"2405-4712","PMID":"28957659","abstract":"Pluripotent stem cells can self-renew in culture and differentiate along all somatic lineages in vivo. While much is known about the molecular basis of pluripotency, the mechanisms of differentiation remain unclear. Here, we profile individual mouse embryonic stem cells as they progress along the neuronal lineage. We observe that cells pass from the pluripotent state to the neuronal state via an intermediate epiblast-like state. However, analysis of the rate at which cells enter and exit these observed cell states using a hidden Markov model indicates the presence of a chain of unobserved molecular states that each cell transits through stochastically in sequence. This chain of hidden states allows individual cells to record their position on the differentiation trajectory, thereby encoding a simple form of cellular memory. We suggest a statistical mechanics interpretation of these results that distinguishes between functionally distinct cellular \"macrostates\" and functionally similar molecular \"microstates\" and propose a model of stem cell differentiation as a non-Markov stochastic process.","author":[{"dropping-particle":"","family":"Stumpf","given":"Patrick S","non-dropping-particle":"","parse-names":false,"suffix":""},{"dropping-particle":"","family":"Smith","given":"Rosanna C G","non-dropping-particle":"","parse-names":false,"suffix":""},{"dropping-particle":"","family":"Lenz","given":"Michael","non-dropping-particle":"","parse-names":false,"suffix":""},{"dropping-particle":"","family":"Schuppert","given":"Andreas","non-dropping-particle":"","parse-names":false,"suffix":""},{"dropping-particle":"","family":"Müller","given":"Franz-Josef","non-dropping-particle":"","parse-names":false,"suffix":""},{"dropping-particle":"","family":"Babtie","given":"Ann","non-dropping-particle":"","parse-names":false,"suffix":""},{"dropping-particle":"","family":"Chan","given":"Thalia E","non-dropping-particle":"","parse-names":false,"suffix":""},{"dropping-particle":"","family":"Stumpf","given":"Michael P H","non-dropping-particle":"","parse-names":false,"suffix":""},{"dropping-particle":"","family":"Please","given":"Colin P","non-dropping-particle":"","parse-names":false,"suffix":""},{"dropping-particle":"","family":"Howison","given":"Sam D","non-dropping-particle":"","parse-names":false,"suffix":""},{"dropping-particle":"","family":"Arai","given":"Fumio","non-dropping-particle":"","parse-names":false,"suffix":""},{"dropping-particle":"","family":"MacArthur","given":"Ben D","non-dropping-particle":"","parse-names":false,"suffix":""}],"container-title":"Cell systems","id":"ITEM-1","issue":"3","issued":{"date-parts":[["2017","9","27"]]},"page":"268-282.e7","publisher":"Elsevier","title":"Stem Cell Differentiation as a Non-Markov Stochastic Process.","type":"article-journal","volume":"5"},"uris":["http://www.mendeley.com/documents/?uuid=8f649b68-aec5-346d-9449-62d31c0c107f"]}],"mendeley":{"formattedCitation":"[6]","plainTextFormattedCitation":"[6]","previouslyFormattedCitation":"[6]"},"properties":{"noteIndex":0},"schema":"https://github.com/citation-style-language/schema/raw/master/csl-citation.json"}</w:instrText>
      </w:r>
      <w:r w:rsidRPr="00642E82">
        <w:rPr>
          <w:rFonts w:cs="Times New Roman"/>
          <w:b/>
          <w:lang w:val="en-US"/>
        </w:rPr>
        <w:fldChar w:fldCharType="separate"/>
      </w:r>
      <w:r w:rsidR="00DE312F" w:rsidRPr="00DE312F">
        <w:rPr>
          <w:rFonts w:cs="Times New Roman"/>
          <w:noProof/>
          <w:lang w:val="en-US"/>
        </w:rPr>
        <w:t>[6]</w:t>
      </w:r>
      <w:r w:rsidRPr="00642E82">
        <w:rPr>
          <w:rFonts w:cs="Times New Roman"/>
          <w:b/>
          <w:lang w:val="en-US"/>
        </w:rPr>
        <w:fldChar w:fldCharType="end"/>
      </w:r>
      <w:r w:rsidRPr="00642E82">
        <w:rPr>
          <w:rFonts w:cs="Times New Roman"/>
          <w:b/>
          <w:lang w:val="en-US"/>
        </w:rPr>
        <w:t>.</w:t>
      </w:r>
      <w:r w:rsidRPr="00642E82">
        <w:rPr>
          <w:rFonts w:cs="Times New Roman"/>
          <w:lang w:val="en-US"/>
        </w:rPr>
        <w:t xml:space="preserve"> </w:t>
      </w:r>
      <w:r>
        <w:rPr>
          <w:rFonts w:cs="Times New Roman"/>
          <w:lang w:val="en-US"/>
        </w:rPr>
        <w:t>The plots show the expression data based on the original time info (</w:t>
      </w:r>
      <w:r w:rsidRPr="00EF729B">
        <w:rPr>
          <w:rFonts w:cs="Times New Roman"/>
          <w:i/>
          <w:lang w:val="en-US"/>
        </w:rPr>
        <w:t>top left</w:t>
      </w:r>
      <w:r>
        <w:rPr>
          <w:rFonts w:cs="Times New Roman"/>
          <w:lang w:val="en-US"/>
        </w:rPr>
        <w:t>), cell clustering assignments (</w:t>
      </w:r>
      <w:r w:rsidRPr="00EF729B">
        <w:rPr>
          <w:rFonts w:cs="Times New Roman"/>
          <w:i/>
          <w:lang w:val="en-US"/>
        </w:rPr>
        <w:t>top right</w:t>
      </w:r>
      <w:r>
        <w:rPr>
          <w:rFonts w:cs="Times New Roman"/>
          <w:lang w:val="en-US"/>
        </w:rPr>
        <w:t>), inferred lineage relationships (</w:t>
      </w:r>
      <w:r w:rsidRPr="00EF729B">
        <w:rPr>
          <w:rFonts w:cs="Times New Roman"/>
          <w:i/>
          <w:lang w:val="en-US"/>
        </w:rPr>
        <w:t>bottom left</w:t>
      </w:r>
      <w:r>
        <w:rPr>
          <w:rFonts w:cs="Times New Roman"/>
          <w:lang w:val="en-US"/>
        </w:rPr>
        <w:t>), and cell ordering (</w:t>
      </w:r>
      <w:r w:rsidRPr="00EF729B">
        <w:rPr>
          <w:rFonts w:cs="Times New Roman"/>
          <w:i/>
          <w:lang w:val="en-US"/>
        </w:rPr>
        <w:t>bottom right</w:t>
      </w:r>
      <w:r>
        <w:rPr>
          <w:rFonts w:cs="Times New Roman"/>
          <w:lang w:val="en-US"/>
        </w:rPr>
        <w:t>).</w:t>
      </w:r>
    </w:p>
    <w:p w14:paraId="5429DBDA" w14:textId="77777777" w:rsidR="00990FD7" w:rsidRDefault="00990FD7" w:rsidP="00A910A5">
      <w:pPr>
        <w:ind w:firstLine="0"/>
        <w:jc w:val="both"/>
        <w:rPr>
          <w:rFonts w:cs="Times New Roman"/>
          <w:lang w:val="en-US"/>
        </w:rPr>
      </w:pPr>
    </w:p>
    <w:p w14:paraId="5D73276E" w14:textId="6D3FFB3F" w:rsidR="008F4039" w:rsidRDefault="008F4039" w:rsidP="001D5452">
      <w:pPr>
        <w:ind w:firstLine="0"/>
        <w:jc w:val="center"/>
        <w:rPr>
          <w:rFonts w:cs="Times New Roman"/>
          <w:lang w:val="en-US"/>
        </w:rPr>
      </w:pPr>
      <w:r w:rsidRPr="008F4039">
        <w:rPr>
          <w:rFonts w:cs="Times New Roman"/>
          <w:noProof/>
          <w:lang w:val="en-US"/>
        </w:rPr>
        <w:drawing>
          <wp:inline distT="0" distB="0" distL="0" distR="0" wp14:anchorId="4A969DC4" wp14:editId="094EF155">
            <wp:extent cx="4664216" cy="1645920"/>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664216" cy="1645920"/>
                    </a:xfrm>
                    <a:prstGeom prst="rect">
                      <a:avLst/>
                    </a:prstGeom>
                  </pic:spPr>
                </pic:pic>
              </a:graphicData>
            </a:graphic>
          </wp:inline>
        </w:drawing>
      </w:r>
    </w:p>
    <w:p w14:paraId="6A4D25C4" w14:textId="25804721" w:rsidR="008A2632" w:rsidRDefault="00EC78E3" w:rsidP="00EC78E3">
      <w:pPr>
        <w:ind w:firstLine="0"/>
        <w:jc w:val="center"/>
        <w:rPr>
          <w:noProof/>
        </w:rPr>
      </w:pPr>
      <w:r w:rsidRPr="00EC78E3">
        <w:rPr>
          <w:rFonts w:cs="Times New Roman"/>
          <w:noProof/>
          <w:lang w:val="en-US"/>
        </w:rPr>
        <w:drawing>
          <wp:inline distT="0" distB="0" distL="0" distR="0" wp14:anchorId="4E1986A8" wp14:editId="73D8DF7B">
            <wp:extent cx="2015731" cy="1645920"/>
            <wp:effectExtent l="0" t="0" r="381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015731" cy="1645920"/>
                    </a:xfrm>
                    <a:prstGeom prst="rect">
                      <a:avLst/>
                    </a:prstGeom>
                  </pic:spPr>
                </pic:pic>
              </a:graphicData>
            </a:graphic>
          </wp:inline>
        </w:drawing>
      </w:r>
      <w:r w:rsidRPr="00EC78E3">
        <w:rPr>
          <w:noProof/>
        </w:rPr>
        <w:t xml:space="preserve"> </w:t>
      </w:r>
      <w:r w:rsidRPr="00EC78E3">
        <w:rPr>
          <w:rFonts w:cs="Times New Roman"/>
          <w:noProof/>
          <w:lang w:val="en-US"/>
        </w:rPr>
        <w:drawing>
          <wp:inline distT="0" distB="0" distL="0" distR="0" wp14:anchorId="25AAAF18" wp14:editId="7290DEC4">
            <wp:extent cx="1910888" cy="1517904"/>
            <wp:effectExtent l="0" t="0" r="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910888" cy="1517904"/>
                    </a:xfrm>
                    <a:prstGeom prst="rect">
                      <a:avLst/>
                    </a:prstGeom>
                  </pic:spPr>
                </pic:pic>
              </a:graphicData>
            </a:graphic>
          </wp:inline>
        </w:drawing>
      </w:r>
    </w:p>
    <w:p w14:paraId="5E3E905D" w14:textId="26EFFC6F" w:rsidR="00C24C19" w:rsidRPr="00C24C19" w:rsidRDefault="00EC78E3" w:rsidP="00990FD7">
      <w:pPr>
        <w:spacing w:line="360" w:lineRule="auto"/>
        <w:ind w:firstLine="0"/>
        <w:jc w:val="both"/>
        <w:rPr>
          <w:rFonts w:cs="Times New Roman"/>
          <w:lang w:val="en-US"/>
        </w:rPr>
      </w:pPr>
      <w:r w:rsidRPr="00642E82">
        <w:rPr>
          <w:rFonts w:cs="Times New Roman"/>
          <w:b/>
          <w:lang w:val="en-US"/>
        </w:rPr>
        <w:t>S</w:t>
      </w:r>
      <w:r w:rsidR="00516F10">
        <w:rPr>
          <w:rFonts w:cs="Times New Roman"/>
          <w:b/>
          <w:lang w:val="en-US"/>
        </w:rPr>
        <w:t>10</w:t>
      </w:r>
      <w:r w:rsidR="00FF0BE3">
        <w:rPr>
          <w:rFonts w:cs="Times New Roman"/>
          <w:b/>
          <w:lang w:val="en-US"/>
        </w:rPr>
        <w:t xml:space="preserve"> Fig</w:t>
      </w:r>
      <w:r>
        <w:rPr>
          <w:rFonts w:cs="Times New Roman"/>
          <w:b/>
          <w:lang w:val="en-US"/>
        </w:rPr>
        <w:t>.</w:t>
      </w:r>
      <w:r w:rsidRPr="00642E82">
        <w:rPr>
          <w:rFonts w:cs="Times New Roman"/>
          <w:b/>
          <w:lang w:val="en-US"/>
        </w:rPr>
        <w:t xml:space="preserve"> </w:t>
      </w:r>
      <w:r>
        <w:rPr>
          <w:rFonts w:cs="Times New Roman"/>
          <w:b/>
          <w:lang w:val="en-US"/>
        </w:rPr>
        <w:t xml:space="preserve">CALISTA analysis for </w:t>
      </w:r>
      <w:proofErr w:type="spellStart"/>
      <w:r>
        <w:rPr>
          <w:rFonts w:cs="Times New Roman"/>
          <w:b/>
          <w:lang w:val="en-US"/>
        </w:rPr>
        <w:t>Moussy</w:t>
      </w:r>
      <w:proofErr w:type="spellEnd"/>
      <w:r>
        <w:rPr>
          <w:rFonts w:cs="Times New Roman"/>
          <w:b/>
          <w:lang w:val="en-US"/>
        </w:rPr>
        <w:t xml:space="preserve"> </w:t>
      </w:r>
      <w:r w:rsidRPr="00642E82">
        <w:rPr>
          <w:rFonts w:cs="Times New Roman"/>
          <w:b/>
          <w:lang w:val="en-US"/>
        </w:rPr>
        <w:t xml:space="preserve">et al. data </w:t>
      </w:r>
      <w:r w:rsidRPr="00642E82">
        <w:rPr>
          <w:rFonts w:cs="Times New Roman"/>
          <w:b/>
          <w:lang w:val="en-US"/>
        </w:rPr>
        <w:fldChar w:fldCharType="begin" w:fldLock="1"/>
      </w:r>
      <w:r w:rsidR="00083415">
        <w:rPr>
          <w:rFonts w:cs="Times New Roman"/>
          <w:b/>
          <w:lang w:val="en-US"/>
        </w:rPr>
        <w:instrText>ADDIN CSL_CITATION {"citationItems":[{"id":"ITEM-1","itemData":{"DOI":"10.1371/journal.pbio.2001867","ISSN":"1545-7885","abstract":"Individual cells take lineage commitment decisions in a way that is not necessarily uniform. We address this issue by characterising transcriptional changes in cord blood-derived CD34+ cells at the single-cell level and integrating data with cell division history and morphological changes determined by time-lapse microscopy. We show that major transcriptional changes leading to a multilineage-primed gene expression state occur very rapidly during the first cell cycle. One of the 2 stable lineage-primed patterns emerges gradually in each cell with variable timing. Some cells reach a stable morphology and molecular phenotype by the end of the first cell cycle and transmit it clonally. Others fluctuate between the 2 phenotypes over several cell cycles. Our analysis highlights the dynamic nature and variable timing of cell fate commitment in hematopoietic cells, links the gene expression pattern to cell morphology, and identifies a new category of cells with fluctuating phenotypic characteristics, demonstrating the complexity of the fate decision process (which is different from a simple binary switch between 2 options, as it is usually envisioned).","author":[{"dropping-particle":"","family":"Moussy","given":"Alice","non-dropping-particle":"","parse-names":false,"suffix":""},{"dropping-particle":"","family":"Cosette","given":"Jérémie","non-dropping-particle":"","parse-names":false,"suffix":""},{"dropping-particle":"","family":"Parmentier","given":"Romuald","non-dropping-particle":"","parse-names":false,"suffix":""},{"dropping-particle":"","family":"Silva","given":"Cindy","non-dropping-particle":"da","parse-names":false,"suffix":""},{"dropping-particle":"","family":"Corre","given":"Guillaume","non-dropping-particle":"","parse-names":false,"suffix":""},{"dropping-particle":"","family":"Richard","given":"Angélique","non-dropping-particle":"","parse-names":false,"suffix":""},{"dropping-particle":"","family":"Gandrillon","given":"Olivier","non-dropping-particle":"","parse-names":false,"suffix":""},{"dropping-particle":"","family":"Stockholm","given":"Daniel","non-dropping-particle":"","parse-names":false,"suffix":""},{"dropping-particle":"","family":"Páldi","given":"András","non-dropping-particle":"","parse-names":false,"suffix":""}],"container-title":"PLOS Biology","editor":[{"dropping-particle":"","family":"Huang","given":"Sui","non-dropping-particle":"","parse-names":false,"suffix":""}],"id":"ITEM-1","issue":"7","issued":{"date-parts":[["2017","7","27"]]},"page":"e2001867","publisher":"Public Library of Science","title":"Integrated time-lapse and single-cell transcription studies highlight the variable and dynamic nature of human hematopoietic cell fate commitment","type":"article-journal","volume":"15"},"uris":["http://www.mendeley.com/documents/?uuid=737128ec-f466-3f9e-bcc9-5f24f041e485"]}],"mendeley":{"formattedCitation":"[7]","plainTextFormattedCitation":"[7]","previouslyFormattedCitation":"[7]"},"properties":{"noteIndex":0},"schema":"https://github.com/citation-style-language/schema/raw/master/csl-citation.json"}</w:instrText>
      </w:r>
      <w:r w:rsidRPr="00642E82">
        <w:rPr>
          <w:rFonts w:cs="Times New Roman"/>
          <w:b/>
          <w:lang w:val="en-US"/>
        </w:rPr>
        <w:fldChar w:fldCharType="separate"/>
      </w:r>
      <w:r w:rsidR="00DE312F" w:rsidRPr="00DE312F">
        <w:rPr>
          <w:rFonts w:cs="Times New Roman"/>
          <w:noProof/>
          <w:lang w:val="en-US"/>
        </w:rPr>
        <w:t>[7]</w:t>
      </w:r>
      <w:r w:rsidRPr="00642E82">
        <w:rPr>
          <w:rFonts w:cs="Times New Roman"/>
          <w:b/>
          <w:lang w:val="en-US"/>
        </w:rPr>
        <w:fldChar w:fldCharType="end"/>
      </w:r>
      <w:r w:rsidRPr="00642E82">
        <w:rPr>
          <w:rFonts w:cs="Times New Roman"/>
          <w:b/>
          <w:lang w:val="en-US"/>
        </w:rPr>
        <w:t>.</w:t>
      </w:r>
      <w:r w:rsidRPr="00642E82">
        <w:rPr>
          <w:rFonts w:cs="Times New Roman"/>
          <w:lang w:val="en-US"/>
        </w:rPr>
        <w:t xml:space="preserve"> </w:t>
      </w:r>
      <w:r>
        <w:rPr>
          <w:rFonts w:cs="Times New Roman"/>
          <w:lang w:val="en-US"/>
        </w:rPr>
        <w:t>The plots show the expression data based on the original time info (</w:t>
      </w:r>
      <w:r w:rsidRPr="00EF729B">
        <w:rPr>
          <w:rFonts w:cs="Times New Roman"/>
          <w:i/>
          <w:lang w:val="en-US"/>
        </w:rPr>
        <w:t>top left</w:t>
      </w:r>
      <w:r>
        <w:rPr>
          <w:rFonts w:cs="Times New Roman"/>
          <w:lang w:val="en-US"/>
        </w:rPr>
        <w:t>), cell clustering assignments (</w:t>
      </w:r>
      <w:r w:rsidRPr="00EF729B">
        <w:rPr>
          <w:rFonts w:cs="Times New Roman"/>
          <w:i/>
          <w:lang w:val="en-US"/>
        </w:rPr>
        <w:t>top right</w:t>
      </w:r>
      <w:r>
        <w:rPr>
          <w:rFonts w:cs="Times New Roman"/>
          <w:lang w:val="en-US"/>
        </w:rPr>
        <w:t>), inferred lineage relationships (</w:t>
      </w:r>
      <w:r w:rsidRPr="00EF729B">
        <w:rPr>
          <w:rFonts w:cs="Times New Roman"/>
          <w:i/>
          <w:lang w:val="en-US"/>
        </w:rPr>
        <w:t>bottom left</w:t>
      </w:r>
      <w:r>
        <w:rPr>
          <w:rFonts w:cs="Times New Roman"/>
          <w:lang w:val="en-US"/>
        </w:rPr>
        <w:t>), and cell ordering (</w:t>
      </w:r>
      <w:r w:rsidRPr="00EF729B">
        <w:rPr>
          <w:rFonts w:cs="Times New Roman"/>
          <w:i/>
          <w:lang w:val="en-US"/>
        </w:rPr>
        <w:t>bottom right</w:t>
      </w:r>
      <w:r>
        <w:rPr>
          <w:rFonts w:cs="Times New Roman"/>
          <w:lang w:val="en-US"/>
        </w:rPr>
        <w:t>).</w:t>
      </w:r>
      <w:r w:rsidR="00C24C19">
        <w:rPr>
          <w:rFonts w:cs="Times New Roman"/>
          <w:lang w:val="en-US"/>
        </w:rPr>
        <w:t xml:space="preserve"> </w:t>
      </w:r>
      <w:r w:rsidR="00C24C19" w:rsidRPr="00C24C19">
        <w:rPr>
          <w:rFonts w:cs="Times New Roman"/>
          <w:lang w:val="en-US"/>
        </w:rPr>
        <w:t xml:space="preserve">An edge connecting cluster </w:t>
      </w:r>
      <w:r w:rsidR="00C24C19">
        <w:rPr>
          <w:rFonts w:cs="Times New Roman"/>
          <w:lang w:val="en-US"/>
        </w:rPr>
        <w:t>2</w:t>
      </w:r>
      <w:r w:rsidR="00C24C19" w:rsidRPr="00C24C19">
        <w:rPr>
          <w:rFonts w:cs="Times New Roman"/>
          <w:lang w:val="en-US"/>
        </w:rPr>
        <w:t xml:space="preserve"> and </w:t>
      </w:r>
      <w:r w:rsidR="00C24C19">
        <w:rPr>
          <w:rFonts w:cs="Times New Roman"/>
          <w:lang w:val="en-US"/>
        </w:rPr>
        <w:t>7</w:t>
      </w:r>
      <w:r w:rsidR="00C24C19" w:rsidRPr="00C24C19">
        <w:rPr>
          <w:rFonts w:cs="Times New Roman"/>
          <w:lang w:val="en-US"/>
        </w:rPr>
        <w:t xml:space="preserve"> was manually removed as the edge was</w:t>
      </w:r>
    </w:p>
    <w:p w14:paraId="15C7F059" w14:textId="3DB8312B" w:rsidR="001D5452" w:rsidRDefault="00C24C19" w:rsidP="00990FD7">
      <w:pPr>
        <w:spacing w:line="360" w:lineRule="auto"/>
        <w:ind w:firstLine="0"/>
        <w:jc w:val="both"/>
        <w:rPr>
          <w:rFonts w:cs="Times New Roman"/>
          <w:lang w:val="en-US"/>
        </w:rPr>
      </w:pPr>
      <w:r w:rsidRPr="00C24C19">
        <w:rPr>
          <w:rFonts w:cs="Times New Roman"/>
          <w:lang w:val="en-US"/>
        </w:rPr>
        <w:t>inconsistent with the cell capture time information</w:t>
      </w:r>
      <w:r>
        <w:rPr>
          <w:rFonts w:cs="Times New Roman"/>
          <w:lang w:val="en-US"/>
        </w:rPr>
        <w:t>.</w:t>
      </w:r>
    </w:p>
    <w:p w14:paraId="4535764F" w14:textId="1EA2408A" w:rsidR="00EC78E3" w:rsidRDefault="00805ECB" w:rsidP="00805ECB">
      <w:pPr>
        <w:ind w:firstLine="0"/>
        <w:jc w:val="center"/>
        <w:rPr>
          <w:rFonts w:cs="Times New Roman"/>
          <w:lang w:val="en-US"/>
        </w:rPr>
      </w:pPr>
      <w:r w:rsidRPr="00805ECB">
        <w:rPr>
          <w:rFonts w:cs="Times New Roman"/>
          <w:noProof/>
          <w:lang w:val="en-US"/>
        </w:rPr>
        <w:lastRenderedPageBreak/>
        <w:drawing>
          <wp:inline distT="0" distB="0" distL="0" distR="0" wp14:anchorId="309092E6" wp14:editId="2AE9E11B">
            <wp:extent cx="4958650" cy="1645920"/>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958650" cy="1645920"/>
                    </a:xfrm>
                    <a:prstGeom prst="rect">
                      <a:avLst/>
                    </a:prstGeom>
                  </pic:spPr>
                </pic:pic>
              </a:graphicData>
            </a:graphic>
          </wp:inline>
        </w:drawing>
      </w:r>
    </w:p>
    <w:p w14:paraId="5192BF0E" w14:textId="5646CBA0" w:rsidR="001D5452" w:rsidRDefault="001D5452" w:rsidP="00805ECB">
      <w:pPr>
        <w:ind w:firstLine="0"/>
        <w:jc w:val="center"/>
        <w:rPr>
          <w:rFonts w:cs="Times New Roman"/>
          <w:lang w:val="en-US"/>
        </w:rPr>
      </w:pPr>
      <w:r w:rsidRPr="001D5452">
        <w:rPr>
          <w:rFonts w:cs="Times New Roman"/>
          <w:noProof/>
          <w:lang w:val="en-US"/>
        </w:rPr>
        <w:drawing>
          <wp:inline distT="0" distB="0" distL="0" distR="0" wp14:anchorId="4FE709FB" wp14:editId="3C38F932">
            <wp:extent cx="2048651" cy="15544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048651" cy="1554480"/>
                    </a:xfrm>
                    <a:prstGeom prst="rect">
                      <a:avLst/>
                    </a:prstGeom>
                  </pic:spPr>
                </pic:pic>
              </a:graphicData>
            </a:graphic>
          </wp:inline>
        </w:drawing>
      </w:r>
      <w:r w:rsidRPr="001D5452">
        <w:rPr>
          <w:noProof/>
        </w:rPr>
        <w:t xml:space="preserve"> </w:t>
      </w:r>
      <w:r w:rsidRPr="001D5452">
        <w:rPr>
          <w:rFonts w:cs="Times New Roman"/>
          <w:noProof/>
          <w:lang w:val="en-US"/>
        </w:rPr>
        <w:drawing>
          <wp:inline distT="0" distB="0" distL="0" distR="0" wp14:anchorId="6FCAEB72" wp14:editId="14BD14B0">
            <wp:extent cx="2034257" cy="15544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034257" cy="1554480"/>
                    </a:xfrm>
                    <a:prstGeom prst="rect">
                      <a:avLst/>
                    </a:prstGeom>
                  </pic:spPr>
                </pic:pic>
              </a:graphicData>
            </a:graphic>
          </wp:inline>
        </w:drawing>
      </w:r>
    </w:p>
    <w:p w14:paraId="709EC380" w14:textId="183FA9B8" w:rsidR="00C24C19" w:rsidRPr="00C24C19" w:rsidRDefault="00C24C19" w:rsidP="008C1FCB">
      <w:pPr>
        <w:spacing w:line="360" w:lineRule="auto"/>
        <w:ind w:firstLine="0"/>
        <w:jc w:val="both"/>
        <w:rPr>
          <w:rFonts w:cs="Times New Roman"/>
          <w:lang w:val="en-US"/>
        </w:rPr>
      </w:pPr>
      <w:r w:rsidRPr="00642E82">
        <w:rPr>
          <w:rFonts w:cs="Times New Roman"/>
          <w:b/>
          <w:lang w:val="en-US"/>
        </w:rPr>
        <w:t>S</w:t>
      </w:r>
      <w:r>
        <w:rPr>
          <w:rFonts w:cs="Times New Roman"/>
          <w:b/>
          <w:lang w:val="en-US"/>
        </w:rPr>
        <w:t>1</w:t>
      </w:r>
      <w:r w:rsidR="00516F10">
        <w:rPr>
          <w:rFonts w:cs="Times New Roman"/>
          <w:b/>
          <w:lang w:val="en-US"/>
        </w:rPr>
        <w:t>1</w:t>
      </w:r>
      <w:r w:rsidR="00FF0BE3">
        <w:rPr>
          <w:rFonts w:cs="Times New Roman"/>
          <w:b/>
          <w:lang w:val="en-US"/>
        </w:rPr>
        <w:t xml:space="preserve"> Fig</w:t>
      </w:r>
      <w:r>
        <w:rPr>
          <w:rFonts w:cs="Times New Roman"/>
          <w:b/>
          <w:lang w:val="en-US"/>
        </w:rPr>
        <w:t>.</w:t>
      </w:r>
      <w:r w:rsidRPr="00642E82">
        <w:rPr>
          <w:rFonts w:cs="Times New Roman"/>
          <w:b/>
          <w:lang w:val="en-US"/>
        </w:rPr>
        <w:t xml:space="preserve"> </w:t>
      </w:r>
      <w:r>
        <w:rPr>
          <w:rFonts w:cs="Times New Roman"/>
          <w:b/>
          <w:lang w:val="en-US"/>
        </w:rPr>
        <w:t xml:space="preserve">CALISTA analysis for Guo </w:t>
      </w:r>
      <w:r w:rsidRPr="00642E82">
        <w:rPr>
          <w:rFonts w:cs="Times New Roman"/>
          <w:b/>
          <w:lang w:val="en-US"/>
        </w:rPr>
        <w:t xml:space="preserve">et al. data </w:t>
      </w:r>
      <w:r w:rsidRPr="00642E82">
        <w:rPr>
          <w:rFonts w:cs="Times New Roman"/>
          <w:b/>
          <w:lang w:val="en-US"/>
        </w:rPr>
        <w:fldChar w:fldCharType="begin" w:fldLock="1"/>
      </w:r>
      <w:r w:rsidR="00083415">
        <w:rPr>
          <w:rFonts w:cs="Times New Roman"/>
          <w:b/>
          <w:lang w:val="en-US"/>
        </w:rPr>
        <w:instrText>ADDIN CSL_CITATION {"citationItems":[{"id":"ITEM-1","itemData":{"DOI":"10.1016/j.devcel.2010.02.012","ISSN":"1878-1551","PMID":"20412781","abstract":"Three distinct cell types are present within the 64-cell stage mouse blastocyst. We have investigated cellular development up to this stage using single-cell expression analysis of more than 500 cells. The 48 genes analyzed were selected in part based on a whole-embryo analysis of more than 800 transcription factors. We show that in the morula, blastomeres coexpress transcription factors specific to different lineages, but by the 64-cell stage three cell types can be clearly distinguished according to their quantitative expression profiles. We identify Id2 and Sox2 as the earliest markers of outer and inner cells, respectively. This is followed by an inverse correlation in expression for the receptor-ligand pair Fgfr2/Fgf4 in the early inner cell mass. Position and signaling events appear to precede the maturation of the transcriptional program. These results illustrate the power of single-cell expression analysis to provide insight into developmental mechanisms. The technique should be widely applicable to other biological systems.","author":[{"dropping-particle":"","family":"Guo","given":"Guoji","non-dropping-particle":"","parse-names":false,"suffix":""},{"dropping-particle":"","family":"Huss","given":"Mikael","non-dropping-particle":"","parse-names":false,"suffix":""},{"dropping-particle":"","family":"Tong","given":"Guo Qing","non-dropping-particle":"","parse-names":false,"suffix":""},{"dropping-particle":"","family":"Wang","given":"Chaoyang","non-dropping-particle":"","parse-names":false,"suffix":""},{"dropping-particle":"","family":"Li Sun","given":"Li","non-dropping-particle":"","parse-names":false,"suffix":""},{"dropping-particle":"","family":"Clarke","given":"Neil D","non-dropping-particle":"","parse-names":false,"suffix":""},{"dropping-particle":"","family":"Robson","given":"Paul","non-dropping-particle":"","parse-names":false,"suffix":""}],"container-title":"Developmental cell","id":"ITEM-1","issue":"4","issued":{"date-parts":[["2010","4","20"]]},"page":"675-85","publisher":"Elsevier","title":"Resolution of cell fate decisions revealed by single-cell gene expression analysis from zygote to blastocyst.","type":"article-journal","volume":"18"},"uris":["http://www.mendeley.com/documents/?uuid=ed912089-9e02-3dd5-964c-420f61a700b4"]}],"mendeley":{"formattedCitation":"[8]","plainTextFormattedCitation":"[8]","previouslyFormattedCitation":"[8]"},"properties":{"noteIndex":0},"schema":"https://github.com/citation-style-language/schema/raw/master/csl-citation.json"}</w:instrText>
      </w:r>
      <w:r w:rsidRPr="00642E82">
        <w:rPr>
          <w:rFonts w:cs="Times New Roman"/>
          <w:b/>
          <w:lang w:val="en-US"/>
        </w:rPr>
        <w:fldChar w:fldCharType="separate"/>
      </w:r>
      <w:r w:rsidR="00DE312F" w:rsidRPr="00DE312F">
        <w:rPr>
          <w:rFonts w:cs="Times New Roman"/>
          <w:noProof/>
          <w:lang w:val="en-US"/>
        </w:rPr>
        <w:t>[8]</w:t>
      </w:r>
      <w:r w:rsidRPr="00642E82">
        <w:rPr>
          <w:rFonts w:cs="Times New Roman"/>
          <w:b/>
          <w:lang w:val="en-US"/>
        </w:rPr>
        <w:fldChar w:fldCharType="end"/>
      </w:r>
      <w:r w:rsidRPr="00642E82">
        <w:rPr>
          <w:rFonts w:cs="Times New Roman"/>
          <w:b/>
          <w:lang w:val="en-US"/>
        </w:rPr>
        <w:t>.</w:t>
      </w:r>
      <w:r w:rsidRPr="00642E82">
        <w:rPr>
          <w:rFonts w:cs="Times New Roman"/>
          <w:lang w:val="en-US"/>
        </w:rPr>
        <w:t xml:space="preserve"> </w:t>
      </w:r>
      <w:r>
        <w:rPr>
          <w:rFonts w:cs="Times New Roman"/>
          <w:lang w:val="en-US"/>
        </w:rPr>
        <w:t>The plots show the expression data based on the original cell stage info (</w:t>
      </w:r>
      <w:r w:rsidRPr="00EF729B">
        <w:rPr>
          <w:rFonts w:cs="Times New Roman"/>
          <w:i/>
          <w:lang w:val="en-US"/>
        </w:rPr>
        <w:t>top left</w:t>
      </w:r>
      <w:r>
        <w:rPr>
          <w:rFonts w:cs="Times New Roman"/>
          <w:lang w:val="en-US"/>
        </w:rPr>
        <w:t>), cell clustering assignments (</w:t>
      </w:r>
      <w:r w:rsidRPr="00EF729B">
        <w:rPr>
          <w:rFonts w:cs="Times New Roman"/>
          <w:i/>
          <w:lang w:val="en-US"/>
        </w:rPr>
        <w:t>top right</w:t>
      </w:r>
      <w:r>
        <w:rPr>
          <w:rFonts w:cs="Times New Roman"/>
          <w:lang w:val="en-US"/>
        </w:rPr>
        <w:t>), inferred lineage relationships (</w:t>
      </w:r>
      <w:r w:rsidRPr="00EF729B">
        <w:rPr>
          <w:rFonts w:cs="Times New Roman"/>
          <w:i/>
          <w:lang w:val="en-US"/>
        </w:rPr>
        <w:t>bottom left</w:t>
      </w:r>
      <w:r>
        <w:rPr>
          <w:rFonts w:cs="Times New Roman"/>
          <w:lang w:val="en-US"/>
        </w:rPr>
        <w:t>), and cell ordering (</w:t>
      </w:r>
      <w:r w:rsidRPr="00EF729B">
        <w:rPr>
          <w:rFonts w:cs="Times New Roman"/>
          <w:i/>
          <w:lang w:val="en-US"/>
        </w:rPr>
        <w:t>bottom right</w:t>
      </w:r>
      <w:r>
        <w:rPr>
          <w:rFonts w:cs="Times New Roman"/>
          <w:lang w:val="en-US"/>
        </w:rPr>
        <w:t xml:space="preserve">). </w:t>
      </w:r>
      <w:r w:rsidRPr="00C24C19">
        <w:rPr>
          <w:rFonts w:cs="Times New Roman"/>
          <w:lang w:val="en-US"/>
        </w:rPr>
        <w:t xml:space="preserve">An edge connecting cluster </w:t>
      </w:r>
      <w:r>
        <w:rPr>
          <w:rFonts w:cs="Times New Roman"/>
          <w:lang w:val="en-US"/>
        </w:rPr>
        <w:t>1</w:t>
      </w:r>
      <w:r w:rsidRPr="00C24C19">
        <w:rPr>
          <w:rFonts w:cs="Times New Roman"/>
          <w:lang w:val="en-US"/>
        </w:rPr>
        <w:t xml:space="preserve"> and </w:t>
      </w:r>
      <w:r>
        <w:rPr>
          <w:rFonts w:cs="Times New Roman"/>
          <w:lang w:val="en-US"/>
        </w:rPr>
        <w:t>4</w:t>
      </w:r>
      <w:r w:rsidRPr="00C24C19">
        <w:rPr>
          <w:rFonts w:cs="Times New Roman"/>
          <w:lang w:val="en-US"/>
        </w:rPr>
        <w:t xml:space="preserve"> was manually removed as the edge was</w:t>
      </w:r>
    </w:p>
    <w:p w14:paraId="15BEF3A6" w14:textId="5D5EA9E5" w:rsidR="00C24C19" w:rsidRDefault="00C24C19" w:rsidP="008C1FCB">
      <w:pPr>
        <w:spacing w:line="360" w:lineRule="auto"/>
        <w:ind w:firstLine="0"/>
        <w:jc w:val="both"/>
        <w:rPr>
          <w:rFonts w:cs="Times New Roman"/>
          <w:lang w:val="en-US"/>
        </w:rPr>
      </w:pPr>
      <w:r w:rsidRPr="00C24C19">
        <w:rPr>
          <w:rFonts w:cs="Times New Roman"/>
          <w:lang w:val="en-US"/>
        </w:rPr>
        <w:t xml:space="preserve">inconsistent with the cell </w:t>
      </w:r>
      <w:r>
        <w:rPr>
          <w:rFonts w:cs="Times New Roman"/>
          <w:lang w:val="en-US"/>
        </w:rPr>
        <w:t>stage</w:t>
      </w:r>
      <w:r w:rsidRPr="00C24C19">
        <w:rPr>
          <w:rFonts w:cs="Times New Roman"/>
          <w:lang w:val="en-US"/>
        </w:rPr>
        <w:t xml:space="preserve"> information</w:t>
      </w:r>
      <w:r>
        <w:rPr>
          <w:rFonts w:cs="Times New Roman"/>
          <w:lang w:val="en-US"/>
        </w:rPr>
        <w:t>.</w:t>
      </w:r>
    </w:p>
    <w:p w14:paraId="3A30E2FB" w14:textId="65990E8B" w:rsidR="00AA52D7" w:rsidRDefault="00AA52D7" w:rsidP="002B7ECA">
      <w:pPr>
        <w:ind w:firstLine="0"/>
        <w:jc w:val="center"/>
        <w:rPr>
          <w:rFonts w:cs="Times New Roman"/>
          <w:lang w:val="en-US"/>
        </w:rPr>
      </w:pPr>
      <w:r w:rsidRPr="00AA52D7">
        <w:rPr>
          <w:rFonts w:cs="Times New Roman"/>
          <w:noProof/>
          <w:lang w:val="en-US"/>
        </w:rPr>
        <w:drawing>
          <wp:inline distT="0" distB="0" distL="0" distR="0" wp14:anchorId="52938AE1" wp14:editId="1DEFC3A6">
            <wp:extent cx="2273969" cy="18288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273969" cy="1828800"/>
                    </a:xfrm>
                    <a:prstGeom prst="rect">
                      <a:avLst/>
                    </a:prstGeom>
                  </pic:spPr>
                </pic:pic>
              </a:graphicData>
            </a:graphic>
          </wp:inline>
        </w:drawing>
      </w:r>
      <w:r w:rsidRPr="00AA52D7">
        <w:rPr>
          <w:rFonts w:cs="Times New Roman"/>
          <w:noProof/>
          <w:lang w:val="en-US"/>
        </w:rPr>
        <w:drawing>
          <wp:inline distT="0" distB="0" distL="0" distR="0" wp14:anchorId="6A412A60" wp14:editId="313E99D2">
            <wp:extent cx="2293544" cy="1828800"/>
            <wp:effectExtent l="0" t="0" r="571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293544" cy="1828800"/>
                    </a:xfrm>
                    <a:prstGeom prst="rect">
                      <a:avLst/>
                    </a:prstGeom>
                  </pic:spPr>
                </pic:pic>
              </a:graphicData>
            </a:graphic>
          </wp:inline>
        </w:drawing>
      </w:r>
    </w:p>
    <w:p w14:paraId="3BCFCBD4" w14:textId="61D10447" w:rsidR="002B7ECA" w:rsidRDefault="002B7ECA" w:rsidP="002B7ECA">
      <w:pPr>
        <w:ind w:firstLine="0"/>
        <w:jc w:val="center"/>
        <w:rPr>
          <w:rFonts w:cs="Times New Roman"/>
          <w:lang w:val="en-US"/>
        </w:rPr>
      </w:pPr>
      <w:r w:rsidRPr="002B7ECA">
        <w:rPr>
          <w:rFonts w:cs="Times New Roman"/>
          <w:noProof/>
          <w:lang w:val="en-US"/>
        </w:rPr>
        <w:drawing>
          <wp:inline distT="0" distB="0" distL="0" distR="0" wp14:anchorId="4BFCFC92" wp14:editId="50F9508D">
            <wp:extent cx="2090885" cy="1554480"/>
            <wp:effectExtent l="0" t="0" r="508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090885" cy="1554480"/>
                    </a:xfrm>
                    <a:prstGeom prst="rect">
                      <a:avLst/>
                    </a:prstGeom>
                  </pic:spPr>
                </pic:pic>
              </a:graphicData>
            </a:graphic>
          </wp:inline>
        </w:drawing>
      </w:r>
      <w:r w:rsidRPr="002B7ECA">
        <w:rPr>
          <w:rFonts w:cs="Times New Roman"/>
          <w:noProof/>
          <w:lang w:val="en-US"/>
        </w:rPr>
        <w:drawing>
          <wp:inline distT="0" distB="0" distL="0" distR="0" wp14:anchorId="1D7308CE" wp14:editId="5B39B1A8">
            <wp:extent cx="2103439" cy="1554480"/>
            <wp:effectExtent l="0" t="0" r="508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103439" cy="1554480"/>
                    </a:xfrm>
                    <a:prstGeom prst="rect">
                      <a:avLst/>
                    </a:prstGeom>
                  </pic:spPr>
                </pic:pic>
              </a:graphicData>
            </a:graphic>
          </wp:inline>
        </w:drawing>
      </w:r>
    </w:p>
    <w:p w14:paraId="455A47CA" w14:textId="51546C57" w:rsidR="00C47E13" w:rsidRDefault="00C47E13" w:rsidP="008C1FCB">
      <w:pPr>
        <w:spacing w:line="360" w:lineRule="auto"/>
        <w:ind w:firstLine="0"/>
        <w:jc w:val="both"/>
        <w:rPr>
          <w:rFonts w:cs="Times New Roman"/>
          <w:lang w:val="en-US"/>
        </w:rPr>
      </w:pPr>
      <w:r w:rsidRPr="00642E82">
        <w:rPr>
          <w:rFonts w:cs="Times New Roman"/>
          <w:b/>
          <w:lang w:val="en-US"/>
        </w:rPr>
        <w:t>S</w:t>
      </w:r>
      <w:r>
        <w:rPr>
          <w:rFonts w:cs="Times New Roman"/>
          <w:b/>
          <w:lang w:val="en-US"/>
        </w:rPr>
        <w:t>1</w:t>
      </w:r>
      <w:r w:rsidR="00516F10">
        <w:rPr>
          <w:rFonts w:cs="Times New Roman"/>
          <w:b/>
          <w:lang w:val="en-US"/>
        </w:rPr>
        <w:t>2</w:t>
      </w:r>
      <w:r w:rsidR="00FF0BE3">
        <w:rPr>
          <w:rFonts w:cs="Times New Roman"/>
          <w:b/>
          <w:lang w:val="en-US"/>
        </w:rPr>
        <w:t xml:space="preserve"> Fig</w:t>
      </w:r>
      <w:r>
        <w:rPr>
          <w:rFonts w:cs="Times New Roman"/>
          <w:b/>
          <w:lang w:val="en-US"/>
        </w:rPr>
        <w:t>.</w:t>
      </w:r>
      <w:r w:rsidRPr="00642E82">
        <w:rPr>
          <w:rFonts w:cs="Times New Roman"/>
          <w:b/>
          <w:lang w:val="en-US"/>
        </w:rPr>
        <w:t xml:space="preserve"> </w:t>
      </w:r>
      <w:r>
        <w:rPr>
          <w:rFonts w:cs="Times New Roman"/>
          <w:b/>
          <w:lang w:val="en-US"/>
        </w:rPr>
        <w:t xml:space="preserve">CALISTA analysis for </w:t>
      </w:r>
      <w:proofErr w:type="spellStart"/>
      <w:r>
        <w:rPr>
          <w:rFonts w:cs="Times New Roman"/>
          <w:b/>
          <w:lang w:val="en-US"/>
        </w:rPr>
        <w:t>Nestorowa</w:t>
      </w:r>
      <w:proofErr w:type="spellEnd"/>
      <w:r>
        <w:rPr>
          <w:rFonts w:cs="Times New Roman"/>
          <w:b/>
          <w:lang w:val="en-US"/>
        </w:rPr>
        <w:t xml:space="preserve"> </w:t>
      </w:r>
      <w:r w:rsidRPr="00642E82">
        <w:rPr>
          <w:rFonts w:cs="Times New Roman"/>
          <w:b/>
          <w:lang w:val="en-US"/>
        </w:rPr>
        <w:t xml:space="preserve">et al. data </w:t>
      </w:r>
      <w:r w:rsidRPr="00642E82">
        <w:rPr>
          <w:rFonts w:cs="Times New Roman"/>
          <w:b/>
          <w:lang w:val="en-US"/>
        </w:rPr>
        <w:fldChar w:fldCharType="begin" w:fldLock="1"/>
      </w:r>
      <w:r w:rsidR="00083415">
        <w:rPr>
          <w:rFonts w:cs="Times New Roman"/>
          <w:b/>
          <w:lang w:val="en-US"/>
        </w:rPr>
        <w:instrText>ADDIN CSL_CITATION {"citationItems":[{"id":"ITEM-1","itemData":{"DOI":"10.1182/blood-2016-05-716480","ISSN":"1528-0020","PMID":"27365425","abstract":"Maintenance of the blood system requires balanced cell fate decisions by hematopoietic stem and progenitor cells (HSPCs). Because cell fate choices are executed at the individual cell level, new single-cell profiling technologies offer exciting possibilities for mapping the dynamic molecular changes underlying HSPC differentiation. Here, we have used single-cell RNA sequencing to profile more than 1600 single HSPCs, and deep sequencing has enabled detection of an average of 6558 protein-coding genes per cell. Index sorting, in combination with broad sorting gates, allowed us to retrospectively assign cells to 12 commonly sorted HSPC phenotypes while also capturing intermediate cells typically excluded by conventional gating. We further show that independently generated single-cell data sets can be projected onto the single-cell resolution expression map to directly compare data from multiple groups and to build and refine new hypotheses. Reconstruction of differentiation trajectories reveals dynamic expression changes associated with early lymphoid, erythroid, and granulocyte-macrophage differentiation. The latter two trajectories were characterized by common upregulation of cell cycle and oxidative phosphorylation transcriptional programs. By using external spike-in controls, we estimate absolute messenger RNA (mRNA) levels per cell, showing for the first time that despite a general reduction in total mRNA, a subset of genes shows higher expression levels in immature stem cells consistent with active maintenance of the stem-cell state. Finally, we report the development of an intuitive Web interface as a new community resource to permit visualization of gene expression in HSPCs at single-cell resolution for any gene of choice.","author":[{"dropping-particle":"","family":"Nestorowa","given":"Sonia","non-dropping-particle":"","parse-names":false,"suffix":""},{"dropping-particle":"","family":"Hamey","given":"Fiona K","non-dropping-particle":"","parse-names":false,"suffix":""},{"dropping-particle":"","family":"Pijuan Sala","given":"Blanca","non-dropping-particle":"","parse-names":false,"suffix":""},{"dropping-particle":"","family":"Diamanti","given":"Evangelia","non-dropping-particle":"","parse-names":false,"suffix":""},{"dropping-particle":"","family":"Shepherd","given":"Mairi","non-dropping-particle":"","parse-names":false,"suffix":""},{"dropping-particle":"","family":"Laurenti","given":"Elisa","non-dropping-particle":"","parse-names":false,"suffix":""},{"dropping-particle":"","family":"Wilson","given":"Nicola K","non-dropping-particle":"","parse-names":false,"suffix":""},{"dropping-particle":"","family":"Kent","given":"David G","non-dropping-particle":"","parse-names":false,"suffix":""},{"dropping-particle":"","family":"Göttgens","given":"Berthold","non-dropping-particle":"","parse-names":false,"suffix":""}],"container-title":"Blood","id":"ITEM-1","issue":"8","issued":{"date-parts":[["2016","8","25"]]},"page":"e20-31","publisher":"American Society of Hematology","title":"A single-cell resolution map of mouse hematopoietic stem and progenitor cell differentiation.","type":"article-journal","volume":"128"},"uris":["http://www.mendeley.com/documents/?uuid=df625e6a-0ad0-3b27-9032-0294af968f41"]}],"mendeley":{"formattedCitation":"[9]","plainTextFormattedCitation":"[9]","previouslyFormattedCitation":"[9]"},"properties":{"noteIndex":0},"schema":"https://github.com/citation-style-language/schema/raw/master/csl-citation.json"}</w:instrText>
      </w:r>
      <w:r w:rsidRPr="00642E82">
        <w:rPr>
          <w:rFonts w:cs="Times New Roman"/>
          <w:b/>
          <w:lang w:val="en-US"/>
        </w:rPr>
        <w:fldChar w:fldCharType="separate"/>
      </w:r>
      <w:r w:rsidR="00DE312F" w:rsidRPr="00DE312F">
        <w:rPr>
          <w:rFonts w:cs="Times New Roman"/>
          <w:noProof/>
          <w:lang w:val="en-US"/>
        </w:rPr>
        <w:t>[9]</w:t>
      </w:r>
      <w:r w:rsidRPr="00642E82">
        <w:rPr>
          <w:rFonts w:cs="Times New Roman"/>
          <w:b/>
          <w:lang w:val="en-US"/>
        </w:rPr>
        <w:fldChar w:fldCharType="end"/>
      </w:r>
      <w:r w:rsidRPr="00642E82">
        <w:rPr>
          <w:rFonts w:cs="Times New Roman"/>
          <w:b/>
          <w:lang w:val="en-US"/>
        </w:rPr>
        <w:t>.</w:t>
      </w:r>
      <w:r w:rsidRPr="00642E82">
        <w:rPr>
          <w:rFonts w:cs="Times New Roman"/>
          <w:lang w:val="en-US"/>
        </w:rPr>
        <w:t xml:space="preserve"> </w:t>
      </w:r>
      <w:r>
        <w:rPr>
          <w:rFonts w:cs="Times New Roman"/>
          <w:lang w:val="en-US"/>
        </w:rPr>
        <w:t>The plots show the expression data based on the original cell labels (</w:t>
      </w:r>
      <w:r w:rsidRPr="00EF729B">
        <w:rPr>
          <w:rFonts w:cs="Times New Roman"/>
          <w:i/>
          <w:lang w:val="en-US"/>
        </w:rPr>
        <w:t>top left</w:t>
      </w:r>
      <w:r>
        <w:rPr>
          <w:rFonts w:cs="Times New Roman"/>
          <w:lang w:val="en-US"/>
        </w:rPr>
        <w:t>), cell clustering assignments (</w:t>
      </w:r>
      <w:r w:rsidRPr="00EF729B">
        <w:rPr>
          <w:rFonts w:cs="Times New Roman"/>
          <w:i/>
          <w:lang w:val="en-US"/>
        </w:rPr>
        <w:t>top right</w:t>
      </w:r>
      <w:r>
        <w:rPr>
          <w:rFonts w:cs="Times New Roman"/>
          <w:lang w:val="en-US"/>
        </w:rPr>
        <w:t>), inferred lineage relationships (</w:t>
      </w:r>
      <w:r w:rsidRPr="00EF729B">
        <w:rPr>
          <w:rFonts w:cs="Times New Roman"/>
          <w:i/>
          <w:lang w:val="en-US"/>
        </w:rPr>
        <w:t>bottom left</w:t>
      </w:r>
      <w:r>
        <w:rPr>
          <w:rFonts w:cs="Times New Roman"/>
          <w:lang w:val="en-US"/>
        </w:rPr>
        <w:t>), and cell ordering (</w:t>
      </w:r>
      <w:r w:rsidRPr="00EF729B">
        <w:rPr>
          <w:rFonts w:cs="Times New Roman"/>
          <w:i/>
          <w:lang w:val="en-US"/>
        </w:rPr>
        <w:t>bottom right</w:t>
      </w:r>
      <w:r>
        <w:rPr>
          <w:rFonts w:cs="Times New Roman"/>
          <w:lang w:val="en-US"/>
        </w:rPr>
        <w:t xml:space="preserve">). </w:t>
      </w:r>
    </w:p>
    <w:p w14:paraId="2A9DF3E2" w14:textId="77777777" w:rsidR="00C47E13" w:rsidRDefault="00C47E13" w:rsidP="002B7ECA">
      <w:pPr>
        <w:ind w:firstLine="0"/>
        <w:jc w:val="center"/>
        <w:rPr>
          <w:rFonts w:cs="Times New Roman"/>
          <w:lang w:val="en-US"/>
        </w:rPr>
      </w:pPr>
    </w:p>
    <w:p w14:paraId="36262679" w14:textId="3B8ED0B4" w:rsidR="00C24C19" w:rsidRDefault="007456B6" w:rsidP="00805ECB">
      <w:pPr>
        <w:ind w:firstLine="0"/>
        <w:jc w:val="center"/>
        <w:rPr>
          <w:rFonts w:cs="Times New Roman"/>
          <w:lang w:val="en-US"/>
        </w:rPr>
      </w:pPr>
      <w:r>
        <w:rPr>
          <w:rFonts w:cs="Times New Roman"/>
          <w:noProof/>
          <w:lang w:val="en-US"/>
        </w:rPr>
        <w:lastRenderedPageBreak/>
        <w:drawing>
          <wp:inline distT="0" distB="0" distL="0" distR="0" wp14:anchorId="70E96D0B" wp14:editId="4BF3A07B">
            <wp:extent cx="5526768" cy="3108960"/>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upp_velocyto.png"/>
                    <pic:cNvPicPr/>
                  </pic:nvPicPr>
                  <pic:blipFill>
                    <a:blip r:embed="rId33">
                      <a:extLst>
                        <a:ext uri="{28A0092B-C50C-407E-A947-70E740481C1C}">
                          <a14:useLocalDpi xmlns:a14="http://schemas.microsoft.com/office/drawing/2010/main" val="0"/>
                        </a:ext>
                      </a:extLst>
                    </a:blip>
                    <a:stretch>
                      <a:fillRect/>
                    </a:stretch>
                  </pic:blipFill>
                  <pic:spPr>
                    <a:xfrm>
                      <a:off x="0" y="0"/>
                      <a:ext cx="5526768" cy="3108960"/>
                    </a:xfrm>
                    <a:prstGeom prst="rect">
                      <a:avLst/>
                    </a:prstGeom>
                  </pic:spPr>
                </pic:pic>
              </a:graphicData>
            </a:graphic>
          </wp:inline>
        </w:drawing>
      </w:r>
    </w:p>
    <w:p w14:paraId="2CBF919D" w14:textId="4A8AE0F4" w:rsidR="0009647C" w:rsidRDefault="00C27AD2" w:rsidP="008C1FCB">
      <w:pPr>
        <w:spacing w:line="360" w:lineRule="auto"/>
        <w:ind w:firstLine="0"/>
        <w:rPr>
          <w:rFonts w:eastAsiaTheme="majorEastAsia" w:cstheme="majorBidi"/>
          <w:b/>
          <w:sz w:val="24"/>
          <w:szCs w:val="32"/>
          <w:lang w:val="en-US"/>
        </w:rPr>
      </w:pPr>
      <w:r w:rsidRPr="00642E82">
        <w:rPr>
          <w:rFonts w:cs="Times New Roman"/>
          <w:b/>
          <w:lang w:val="en-US"/>
        </w:rPr>
        <w:t>S</w:t>
      </w:r>
      <w:r>
        <w:rPr>
          <w:rFonts w:cs="Times New Roman"/>
          <w:b/>
          <w:lang w:val="en-US"/>
        </w:rPr>
        <w:t>1</w:t>
      </w:r>
      <w:r w:rsidR="00516F10">
        <w:rPr>
          <w:rFonts w:cs="Times New Roman"/>
          <w:b/>
          <w:lang w:val="en-US"/>
        </w:rPr>
        <w:t>3</w:t>
      </w:r>
      <w:r w:rsidR="00FF0BE3">
        <w:rPr>
          <w:rFonts w:cs="Times New Roman"/>
          <w:b/>
          <w:lang w:val="en-US"/>
        </w:rPr>
        <w:t xml:space="preserve"> Fig.</w:t>
      </w:r>
      <w:r w:rsidRPr="00CC4916">
        <w:rPr>
          <w:b/>
          <w:lang w:val="en-US"/>
        </w:rPr>
        <w:t xml:space="preserve"> </w:t>
      </w:r>
      <w:r>
        <w:rPr>
          <w:b/>
          <w:lang w:val="en-US"/>
        </w:rPr>
        <w:t>Single-cell expression data analysis.</w:t>
      </w:r>
      <w:r w:rsidRPr="00426293">
        <w:rPr>
          <w:b/>
          <w:lang w:val="en-US"/>
        </w:rPr>
        <w:t xml:space="preserve"> </w:t>
      </w:r>
      <w:r w:rsidRPr="00426293">
        <w:rPr>
          <w:lang w:val="en-US"/>
        </w:rPr>
        <w:t xml:space="preserve">(Top row) </w:t>
      </w:r>
      <w:r w:rsidRPr="00B24855">
        <w:rPr>
          <w:rFonts w:ascii="Courier New" w:hAnsi="Courier New" w:cs="Courier New"/>
          <w:lang w:val="en-US"/>
        </w:rPr>
        <w:t>﻿</w:t>
      </w:r>
      <w:r w:rsidRPr="00B24855">
        <w:rPr>
          <w:lang w:val="en-US"/>
        </w:rPr>
        <w:t xml:space="preserve">Human glutamatergic neurogenesis </w:t>
      </w:r>
      <w:r w:rsidRPr="00426293">
        <w:rPr>
          <w:lang w:val="en-US"/>
        </w:rPr>
        <w:t xml:space="preserve">in </w:t>
      </w:r>
      <w:r>
        <w:rPr>
          <w:lang w:val="en-US"/>
        </w:rPr>
        <w:t xml:space="preserve">La </w:t>
      </w:r>
      <w:proofErr w:type="spellStart"/>
      <w:r>
        <w:rPr>
          <w:lang w:val="en-US"/>
        </w:rPr>
        <w:t>Manno</w:t>
      </w:r>
      <w:proofErr w:type="spellEnd"/>
      <w:r w:rsidRPr="00426293">
        <w:rPr>
          <w:lang w:val="en-US"/>
        </w:rPr>
        <w:t xml:space="preserve"> et al. study </w:t>
      </w:r>
      <w:r>
        <w:rPr>
          <w:b/>
          <w:lang w:val="en-US"/>
        </w:rPr>
        <w:fldChar w:fldCharType="begin" w:fldLock="1"/>
      </w:r>
      <w:r w:rsidR="00083415">
        <w:rPr>
          <w:b/>
          <w:lang w:val="en-US"/>
        </w:rPr>
        <w:instrText>ADDIN CSL_CITATION {"citationItems":[{"id":"ITEM-1","itemData":{"DOI":"10.1038/s41586-018-0414-6","ISSN":"0028-0836","abstract":"RNA abundance is a powerful indicator of the state of individual cells. Single-cell RNA sequencing can reveal RNA abundance with high quantitative accuracy, sensitivity and throughput1. However, this approach captures only a static snapshot at a point in time, posing a challenge for the analysis of time-resolved phenomena such as embryogenesis or tissue regeneration. Here we show that RNA velocity—the time derivative of the gene expression state—can be directly estimated by distinguishing between unspliced and spliced mRNAs in common single-cell RNA sequencing protocols. RNA velocity is a high-dimensional vector that predicts the future state of individual cells on a timescale of hours. We validate its accuracy in the neural crest lineage, demonstrate its use on multiple published datasets and technical platforms, reveal the branching lineage tree of the developing mouse hippocampus, and examine the kinetics of transcription in human embryonic brain. We expect RNA velocity to greatly aid the analysis of developmental lineages and cellular dynamics, particularly in humans.","author":[{"dropping-particle":"","family":"Manno","given":"Gioele","non-dropping-particle":"La","parse-names":false,"suffix":""},{"dropping-particle":"","family":"Soldatov","given":"Ruslan","non-dropping-particle":"","parse-names":false,"suffix":""},{"dropping-particle":"","family":"Zeisel","given":"Amit","non-dropping-particle":"","parse-names":false,"suffix":""},{"dropping-particle":"","family":"Braun","given":"Emelie","non-dropping-particle":"","parse-names":false,"suffix":""},{"dropping-particle":"","family":"Hochgerner","given":"Hannah","non-dropping-particle":"","parse-names":false,"suffix":""},{"dropping-particle":"","family":"Petukhov","given":"Viktor","non-dropping-particle":"","parse-names":false,"suffix":""},{"dropping-particle":"","family":"Lidschreiber","given":"Katja","non-dropping-particle":"","parse-names":false,"suffix":""},{"dropping-particle":"","family":"Kastriti","given":"Maria E.","non-dropping-particle":"","parse-names":false,"suffix":""},{"dropping-particle":"","family":"Lönnerberg","given":"Peter","non-dropping-particle":"","parse-names":false,"suffix":""},{"dropping-particle":"","family":"Furlan","given":"Alessandro","non-dropping-particle":"","parse-names":false,"suffix":""},{"dropping-particle":"","family":"Fan","given":"Jean","non-dropping-particle":"","parse-names":false,"suffix":""},{"dropping-particle":"","family":"Borm","given":"Lars E.","non-dropping-particle":"","parse-names":false,"suffix":""},{"dropping-particle":"","family":"Liu","given":"Zehua","non-dropping-particle":"","parse-names":false,"suffix":""},{"dropping-particle":"","family":"Bruggen","given":"David","non-dropping-particle":"van","parse-names":false,"suffix":""},{"dropping-particle":"","family":"Guo","given":"Jimin","non-dropping-particle":"","parse-names":false,"suffix":""},{"dropping-particle":"","family":"He","given":"Xiaoling","non-dropping-particle":"","parse-names":false,"suffix":""},{"dropping-particle":"","family":"Barker","given":"Roger","non-dropping-particle":"","parse-names":false,"suffix":""},{"dropping-particle":"","family":"Sundström","given":"Erik","non-dropping-particle":"","parse-names":false,"suffix":""},{"dropping-particle":"","family":"Castelo-Branco","given":"Gonçalo","non-dropping-particle":"","parse-names":false,"suffix":""},{"dropping-particle":"","family":"Cramer","given":"Patrick","non-dropping-particle":"","parse-names":false,"suffix":""},{"dropping-particle":"","family":"Adameyko","given":"Igor","non-dropping-particle":"","parse-names":false,"suffix":""},{"dropping-particle":"","family":"Linnarsson","given":"Sten","non-dropping-particle":"","parse-names":false,"suffix":""},{"dropping-particle":"V.","family":"Kharchenko","given":"Peter","non-dropping-particle":"","parse-names":false,"suffix":""}],"container-title":"Nature","id":"ITEM-1","issue":"7719","issued":{"date-parts":[["2018","8","8"]]},"page":"494-498","publisher":"Nature Publishing Group","title":"RNA velocity of single cells","type":"article-journal","volume":"560"},"uris":["http://www.mendeley.com/documents/?uuid=fcec9e03-87b5-32c4-b5d6-85c5585ee53f"]}],"mendeley":{"formattedCitation":"[10]","plainTextFormattedCitation":"[10]","previouslyFormattedCitation":"[10]"},"properties":{"noteIndex":0},"schema":"https://github.com/citation-style-language/schema/raw/master/csl-citation.json"}</w:instrText>
      </w:r>
      <w:r>
        <w:rPr>
          <w:b/>
          <w:lang w:val="en-US"/>
        </w:rPr>
        <w:fldChar w:fldCharType="separate"/>
      </w:r>
      <w:r w:rsidR="00DE312F" w:rsidRPr="00DE312F">
        <w:rPr>
          <w:noProof/>
          <w:lang w:val="en-US"/>
        </w:rPr>
        <w:t>[10]</w:t>
      </w:r>
      <w:r>
        <w:rPr>
          <w:b/>
          <w:lang w:val="en-US"/>
        </w:rPr>
        <w:fldChar w:fldCharType="end"/>
      </w:r>
      <w:r w:rsidRPr="00426293">
        <w:rPr>
          <w:lang w:val="en-US"/>
        </w:rPr>
        <w:t>. (</w:t>
      </w:r>
      <w:r>
        <w:rPr>
          <w:lang w:val="en-US"/>
        </w:rPr>
        <w:t>Bottom</w:t>
      </w:r>
      <w:r w:rsidRPr="00426293">
        <w:rPr>
          <w:lang w:val="en-US"/>
        </w:rPr>
        <w:t xml:space="preserve"> row) </w:t>
      </w:r>
      <w:r>
        <w:rPr>
          <w:lang w:val="en-US"/>
        </w:rPr>
        <w:t>Mouse hippocampal neurogenesis</w:t>
      </w:r>
      <w:r w:rsidRPr="00426293">
        <w:rPr>
          <w:lang w:val="en-US"/>
        </w:rPr>
        <w:t xml:space="preserve"> in </w:t>
      </w:r>
      <w:proofErr w:type="spellStart"/>
      <w:r>
        <w:rPr>
          <w:lang w:val="en-US"/>
        </w:rPr>
        <w:t>Kreigstein</w:t>
      </w:r>
      <w:proofErr w:type="spellEnd"/>
      <w:r w:rsidRPr="00426293">
        <w:rPr>
          <w:lang w:val="en-US"/>
        </w:rPr>
        <w:t xml:space="preserve"> et al. study</w:t>
      </w:r>
      <w:r>
        <w:rPr>
          <w:lang w:val="en-US"/>
        </w:rPr>
        <w:t xml:space="preserve"> </w:t>
      </w:r>
      <w:r>
        <w:rPr>
          <w:lang w:val="en-US"/>
        </w:rPr>
        <w:fldChar w:fldCharType="begin" w:fldLock="1"/>
      </w:r>
      <w:r w:rsidR="00083415">
        <w:rPr>
          <w:lang w:val="en-US"/>
        </w:rPr>
        <w:instrText>ADDIN CSL_CITATION {"citationItems":[{"id":"ITEM-1","itemData":{"DOI":"10.1146/annurev.neuro.051508.135600","abstract":"Glial cells were long considered end products of neural differentiation, specialized supportive cells with an origin very different from that of neurons. New studies have shown that some glial cells-radial glia (RG) in development and specific subpopulations of astrocytes in adult mammals-function as primary progenitors or neural stem cells (NSCs). This is a fundamental departure from classical views separating neuronal and glial lineages early in development. Direct visualization of the behavior of NSCs and lineage-tracing studies reveal how neuronal lineages emerge. In development and in the adult brain, many neurons and glial cells are not the direct progeny of NSCs, but instead originate from transit amplifying, or intermediate, progenitor cells (IPCs). Within NSCs and IPCs, genetic programs unfold for generating the extraordinary diversity of cell types in the central nervous system. The timing in development and location of NSCs, a property tightly linked to their neuroepithelial origin, appear to be the key determinants of the types of neurons generated. Identification of NSCs and IPCs is critical to understand brain development and adult neurogenesis and to develop new strategies for brain repair.","author":[{"dropping-particle":"","family":"Kriegstein","given":"Arnold","non-dropping-particle":"","parse-names":false,"suffix":""},{"dropping-particle":"","family":"Alvarez-Buylla","given":"Arturo","non-dropping-particle":"","parse-names":false,"suffix":""}],"id":"ITEM-1","issued":{"date-parts":[["2009"]]},"title":"The Glial Nature of Embryonic and Adult Neural Stem Cells","type":"article-journal"},"uris":["http://www.mendeley.com/documents/?uuid=38ec319c-ab34-3886-b8a2-aec1b8d6605e"]}],"mendeley":{"formattedCitation":"[11]","plainTextFormattedCitation":"[11]","previouslyFormattedCitation":"[11]"},"properties":{"noteIndex":0},"schema":"https://github.com/citation-style-language/schema/raw/master/csl-citation.json"}</w:instrText>
      </w:r>
      <w:r>
        <w:rPr>
          <w:lang w:val="en-US"/>
        </w:rPr>
        <w:fldChar w:fldCharType="separate"/>
      </w:r>
      <w:r w:rsidR="00DE312F" w:rsidRPr="00DE312F">
        <w:rPr>
          <w:noProof/>
          <w:lang w:val="en-US"/>
        </w:rPr>
        <w:t>[11]</w:t>
      </w:r>
      <w:r>
        <w:rPr>
          <w:lang w:val="en-US"/>
        </w:rPr>
        <w:fldChar w:fldCharType="end"/>
      </w:r>
      <w:r w:rsidRPr="00426293">
        <w:rPr>
          <w:lang w:val="en-US"/>
        </w:rPr>
        <w:t>. (First column)</w:t>
      </w:r>
      <w:r>
        <w:rPr>
          <w:lang w:val="en-US"/>
        </w:rPr>
        <w:t xml:space="preserve"> Cell clustering assignments evaluated from </w:t>
      </w:r>
      <w:proofErr w:type="spellStart"/>
      <w:r>
        <w:rPr>
          <w:lang w:val="en-US"/>
        </w:rPr>
        <w:t>Velocyto</w:t>
      </w:r>
      <w:proofErr w:type="spellEnd"/>
      <w:r>
        <w:rPr>
          <w:lang w:val="en-US"/>
        </w:rPr>
        <w:t xml:space="preserve">. Lineage </w:t>
      </w:r>
      <w:proofErr w:type="spellStart"/>
      <w:r>
        <w:rPr>
          <w:lang w:val="en-US"/>
        </w:rPr>
        <w:t>progresison</w:t>
      </w:r>
      <w:proofErr w:type="spellEnd"/>
      <w:r>
        <w:rPr>
          <w:lang w:val="en-US"/>
        </w:rPr>
        <w:t xml:space="preserve"> (Second column) and cell ordering (Third column) were predicted by CALISTA.  PC</w:t>
      </w:r>
      <w:r w:rsidRPr="00426293">
        <w:rPr>
          <w:lang w:val="en-US"/>
        </w:rPr>
        <w:t xml:space="preserve">: principal component. </w:t>
      </w:r>
      <w:r>
        <w:rPr>
          <w:lang w:val="en-US"/>
        </w:rPr>
        <w:t xml:space="preserve">TSNE: </w:t>
      </w:r>
      <w:r w:rsidRPr="008A610C">
        <w:rPr>
          <w:lang w:val="en-US"/>
        </w:rPr>
        <w:t>t-Distributed Stochastic Neighbor Embedding</w:t>
      </w:r>
      <w:r>
        <w:rPr>
          <w:lang w:val="en-US"/>
        </w:rPr>
        <w:t xml:space="preserve"> component. </w:t>
      </w:r>
      <w:r w:rsidRPr="00426293">
        <w:rPr>
          <w:lang w:val="en-US"/>
        </w:rPr>
        <w:t>The colors in the first</w:t>
      </w:r>
      <w:r>
        <w:rPr>
          <w:lang w:val="en-US"/>
        </w:rPr>
        <w:t xml:space="preserve"> </w:t>
      </w:r>
      <w:r w:rsidRPr="00426293">
        <w:rPr>
          <w:lang w:val="en-US"/>
        </w:rPr>
        <w:t xml:space="preserve">column indicate the cell </w:t>
      </w:r>
      <w:r>
        <w:rPr>
          <w:lang w:val="en-US"/>
        </w:rPr>
        <w:t>clusters</w:t>
      </w:r>
      <w:r w:rsidRPr="008A610C">
        <w:rPr>
          <w:lang w:val="en-US"/>
        </w:rPr>
        <w:t xml:space="preserve">. </w:t>
      </w:r>
    </w:p>
    <w:p w14:paraId="4C4201CF" w14:textId="77777777" w:rsidR="0009647C" w:rsidRDefault="0009647C" w:rsidP="0009647C">
      <w:pPr>
        <w:ind w:firstLine="0"/>
        <w:jc w:val="center"/>
        <w:rPr>
          <w:b/>
          <w:lang w:val="en-US"/>
        </w:rPr>
      </w:pPr>
      <w:r w:rsidRPr="00C93FEF">
        <w:rPr>
          <w:b/>
          <w:noProof/>
          <w:lang w:val="en-US"/>
        </w:rPr>
        <w:drawing>
          <wp:inline distT="0" distB="0" distL="0" distR="0" wp14:anchorId="59C7395A" wp14:editId="7C654E04">
            <wp:extent cx="3758151" cy="2743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758151" cy="2743200"/>
                    </a:xfrm>
                    <a:prstGeom prst="rect">
                      <a:avLst/>
                    </a:prstGeom>
                  </pic:spPr>
                </pic:pic>
              </a:graphicData>
            </a:graphic>
          </wp:inline>
        </w:drawing>
      </w:r>
    </w:p>
    <w:p w14:paraId="18CA9009" w14:textId="556EF4C0" w:rsidR="0009647C" w:rsidRDefault="0009647C" w:rsidP="008C1FCB">
      <w:pPr>
        <w:spacing w:line="360" w:lineRule="auto"/>
        <w:ind w:firstLine="0"/>
        <w:rPr>
          <w:rFonts w:eastAsiaTheme="majorEastAsia" w:cstheme="majorBidi"/>
          <w:b/>
          <w:sz w:val="24"/>
          <w:szCs w:val="32"/>
          <w:lang w:val="en-US"/>
        </w:rPr>
      </w:pPr>
      <w:r w:rsidRPr="00CC4916">
        <w:rPr>
          <w:b/>
          <w:lang w:val="en-US"/>
        </w:rPr>
        <w:t xml:space="preserve">Figure </w:t>
      </w:r>
      <w:r w:rsidRPr="00642E82">
        <w:rPr>
          <w:rFonts w:cs="Times New Roman"/>
          <w:b/>
          <w:lang w:val="en-US"/>
        </w:rPr>
        <w:t>S</w:t>
      </w:r>
      <w:r>
        <w:rPr>
          <w:rFonts w:cs="Times New Roman"/>
          <w:b/>
          <w:lang w:val="en-US"/>
        </w:rPr>
        <w:t>1</w:t>
      </w:r>
      <w:r w:rsidR="00516F10">
        <w:rPr>
          <w:rFonts w:cs="Times New Roman"/>
          <w:b/>
          <w:lang w:val="en-US"/>
        </w:rPr>
        <w:t>4</w:t>
      </w:r>
      <w:r w:rsidRPr="00CC4916">
        <w:rPr>
          <w:b/>
          <w:lang w:val="en-US"/>
        </w:rPr>
        <w:t xml:space="preserve"> </w:t>
      </w:r>
      <w:r>
        <w:rPr>
          <w:b/>
          <w:lang w:val="en-US"/>
        </w:rPr>
        <w:t>Gene-wise cross correlation analysis between RNA velocity and single-cell transcriptional analysis (glutamatergic neurogenesis)</w:t>
      </w:r>
      <w:r w:rsidRPr="00D84BEE">
        <w:rPr>
          <w:b/>
          <w:vertAlign w:val="superscript"/>
          <w:lang w:val="en-US"/>
        </w:rPr>
        <w:t>10</w:t>
      </w:r>
      <w:r>
        <w:rPr>
          <w:b/>
          <w:lang w:val="en-US"/>
        </w:rPr>
        <w:t xml:space="preserve">. </w:t>
      </w:r>
      <w:r>
        <w:rPr>
          <w:lang w:val="en-US"/>
        </w:rPr>
        <w:t xml:space="preserve">Histogram of the maximum correlation between RNA velocity and time-shifted (advanced) single-cell transcriptional uncertainty for each of the top 500 most variable genes. First, for each gene, the RNA velocity and transcriptional uncertainty of the cells were first sorted in increasing cell </w:t>
      </w:r>
      <w:proofErr w:type="spellStart"/>
      <w:r>
        <w:rPr>
          <w:lang w:val="en-US"/>
        </w:rPr>
        <w:t>pseudotime</w:t>
      </w:r>
      <w:proofErr w:type="spellEnd"/>
      <w:r>
        <w:rPr>
          <w:lang w:val="en-US"/>
        </w:rPr>
        <w:t>. Then, we performed cross correlation to determine the time difference that gives the maximum correlation between the delayed RNA velocity and the transcriptional uncertainty. The 25</w:t>
      </w:r>
      <w:r w:rsidRPr="00C93FEF">
        <w:rPr>
          <w:vertAlign w:val="superscript"/>
          <w:lang w:val="en-US"/>
        </w:rPr>
        <w:t>th</w:t>
      </w:r>
      <w:r>
        <w:rPr>
          <w:lang w:val="en-US"/>
        </w:rPr>
        <w:t>, 50</w:t>
      </w:r>
      <w:r w:rsidRPr="00C93FEF">
        <w:rPr>
          <w:vertAlign w:val="superscript"/>
          <w:lang w:val="en-US"/>
        </w:rPr>
        <w:t>th</w:t>
      </w:r>
      <w:r>
        <w:rPr>
          <w:lang w:val="en-US"/>
        </w:rPr>
        <w:t xml:space="preserve"> and 75</w:t>
      </w:r>
      <w:r w:rsidRPr="00C93FEF">
        <w:rPr>
          <w:vertAlign w:val="superscript"/>
          <w:lang w:val="en-US"/>
        </w:rPr>
        <w:t>th</w:t>
      </w:r>
      <w:r>
        <w:rPr>
          <w:lang w:val="en-US"/>
        </w:rPr>
        <w:t xml:space="preserve"> percentile of the correlations are −0.075, 0.112, and 0.510. </w:t>
      </w:r>
      <w:r>
        <w:rPr>
          <w:caps/>
          <w:lang w:val="en-US"/>
        </w:rPr>
        <w:br w:type="page"/>
      </w:r>
    </w:p>
    <w:p w14:paraId="01437843" w14:textId="5F20063C" w:rsidR="00083415" w:rsidRDefault="00083415" w:rsidP="00D936B2">
      <w:pPr>
        <w:pStyle w:val="Heading1"/>
        <w:rPr>
          <w:caps w:val="0"/>
          <w:lang w:val="en-US"/>
        </w:rPr>
      </w:pPr>
      <w:r>
        <w:rPr>
          <w:caps w:val="0"/>
          <w:lang w:val="en-US"/>
        </w:rPr>
        <w:lastRenderedPageBreak/>
        <w:t>Supplementary Notes S1 – CALISTA workflow</w:t>
      </w:r>
    </w:p>
    <w:p w14:paraId="3D033BE8" w14:textId="316ECF11" w:rsidR="00083415" w:rsidRPr="00187818" w:rsidRDefault="00083415" w:rsidP="00083415">
      <w:pPr>
        <w:ind w:firstLine="0"/>
        <w:jc w:val="both"/>
        <w:rPr>
          <w:color w:val="004CFF"/>
        </w:rPr>
      </w:pPr>
      <w:r w:rsidRPr="00187818">
        <w:t xml:space="preserve">Our analysis procedure using CALISTA involves </w:t>
      </w:r>
      <w:r>
        <w:t>three</w:t>
      </w:r>
      <w:r w:rsidRPr="00187818">
        <w:t xml:space="preserve"> main steps: cell clustering, lineage inference, and calculation of single-cell transcriptional uncertainty. In the analysis, each cell is assigned a likelihood value, which is computed from the probability of its gene expression (mRNA counts) based on the mRNA distribution given by the two-state model above. In the single-cell clustering, we employed a greedy algorithm to find single-cell clusters that maximizes the total likelihood value for the cells. In the lineage progression inference, we connected cell clusters sharing similar gene expression distributions – by computing cluster distances based on cell likelihood – to form a hierarchical network. Here</w:t>
      </w:r>
      <w:r w:rsidRPr="00187818">
        <w:rPr>
          <w:rFonts w:eastAsia="MS Mincho" w:cs="Times New Roman"/>
          <w:szCs w:val="20"/>
          <w:lang w:eastAsia="ja-JP"/>
        </w:rPr>
        <w:t>, we assigned each cell to an edge in the lineage progression network that is pointing to or emanating from its respective cluster, such that its single-cell likelihood is maximized.</w:t>
      </w:r>
      <w:r w:rsidRPr="00187818">
        <w:t xml:space="preserve"> Finally, we computed single-cell transcriptional uncertainty as the negative logarithm of the single-cell likelihood (NLL) value.</w:t>
      </w:r>
      <w:r w:rsidRPr="00187818">
        <w:rPr>
          <w:rFonts w:eastAsia="MS Mincho" w:cs="Times New Roman"/>
          <w:szCs w:val="20"/>
          <w:lang w:eastAsia="ja-JP"/>
        </w:rPr>
        <w:t xml:space="preserve"> </w:t>
      </w:r>
      <w:r w:rsidRPr="00187818">
        <w:t xml:space="preserve">The full detail of CALISTA can be found in a recent publication </w:t>
      </w:r>
      <w:r w:rsidRPr="00187818">
        <w:fldChar w:fldCharType="begin" w:fldLock="1"/>
      </w:r>
      <w:r>
        <w:instrText>ADDIN CSL_CITATION {"citationItems":[{"id":"ITEM-1","itemData":{"DOI":"10.3389/fbioe.2020.00018","ISSN":"2296-4185","abstract":"We present Clustering and Lineage Inference in Single-Cell Transcriptional Analysis (CALISTA), a numerically efficient and highly scalable toolbox for an end-to-end analysis of single-cell transcriptomic profiles. CALISTA includes four essential single-cell analyses for cell differentiation studies, including single-cell clustering, reconstruction of cell lineage specification, transition gene identification, and cell pseudotime ordering, which can be applied individually or in a pipeline. In these analyses, we employ a likelihood-based approach where single-cell mRNA counts are described by a probabilistic distribution function associated with stochastic gene transcriptional bursts and random technical dropout events. We illustrate the efficacy of CALISTA using single-cell gene expression datasets from different single-cell transcriptional profiling technologies and from a few hundreds to tens of thousands of cells. CALISTA is freely available on https://www.cabselab.com/calista.","author":[{"dropping-particle":"","family":"Papili Gao","given":"Nan","non-dropping-particle":"","parse-names":false,"suffix":""},{"dropping-particle":"","family":"Hartmann","given":"Thomas","non-dropping-particle":"","parse-names":false,"suffix":""},{"dropping-particle":"","family":"Fang","given":"Tao","non-dropping-particle":"","parse-names":false,"suffix":""},{"dropping-particle":"","family":"Gunawan","given":"Rudiyanto","non-dropping-particle":"","parse-names":false,"suffix":""}],"container-title":"Frontiers in Bioengineering and Biotechnology","id":"ITEM-1","issued":{"date-parts":[["2020","2","4"]]},"page":"18","publisher":"Frontiers Media S.A.","title":"CALISTA: Clustering and LINEAGE Inference in Single-Cell Transcriptional Analysis","type":"article-journal","volume":"8"},"uris":["http://www.mendeley.com/documents/?uuid=eb91ac40-28c3-3037-9567-65c69158e972"]}],"mendeley":{"formattedCitation":"[2]","plainTextFormattedCitation":"[2]","previouslyFormattedCitation":"[40]"},"properties":{"noteIndex":0},"schema":"https://github.com/citation-style-language/schema/raw/master/csl-citation.json"}</w:instrText>
      </w:r>
      <w:r w:rsidRPr="00187818">
        <w:fldChar w:fldCharType="separate"/>
      </w:r>
      <w:r w:rsidRPr="00083415">
        <w:rPr>
          <w:noProof/>
        </w:rPr>
        <w:t>[2]</w:t>
      </w:r>
      <w:r w:rsidRPr="00187818">
        <w:fldChar w:fldCharType="end"/>
      </w:r>
      <w:r w:rsidRPr="00187818">
        <w:t>.</w:t>
      </w:r>
      <w:r w:rsidRPr="00187818">
        <w:rPr>
          <w:rFonts w:eastAsia="MS Mincho" w:cs="Times New Roman"/>
          <w:szCs w:val="20"/>
          <w:lang w:eastAsia="ja-JP"/>
        </w:rPr>
        <w:t xml:space="preserve"> </w:t>
      </w:r>
    </w:p>
    <w:p w14:paraId="61B377AE" w14:textId="77777777" w:rsidR="00083415" w:rsidRPr="00083415" w:rsidRDefault="00083415" w:rsidP="00083415">
      <w:pPr>
        <w:rPr>
          <w:lang w:val="en-US"/>
        </w:rPr>
      </w:pPr>
    </w:p>
    <w:p w14:paraId="2ED2000F" w14:textId="584079D2" w:rsidR="00D936B2" w:rsidRDefault="00D936B2" w:rsidP="00D936B2">
      <w:pPr>
        <w:pStyle w:val="Heading1"/>
        <w:rPr>
          <w:caps w:val="0"/>
          <w:lang w:val="en-US"/>
        </w:rPr>
      </w:pPr>
      <w:r>
        <w:rPr>
          <w:caps w:val="0"/>
          <w:lang w:val="en-US"/>
        </w:rPr>
        <w:t>References</w:t>
      </w:r>
    </w:p>
    <w:p w14:paraId="2F95FD82" w14:textId="49F6B965" w:rsidR="00083415" w:rsidRPr="00083415" w:rsidRDefault="00D936B2" w:rsidP="00083415">
      <w:pPr>
        <w:widowControl w:val="0"/>
        <w:autoSpaceDE w:val="0"/>
        <w:autoSpaceDN w:val="0"/>
        <w:adjustRightInd w:val="0"/>
        <w:ind w:left="640" w:hanging="640"/>
        <w:rPr>
          <w:rFonts w:cs="Times New Roman"/>
          <w:noProof/>
        </w:rPr>
      </w:pPr>
      <w:r>
        <w:rPr>
          <w:lang w:val="en-US"/>
        </w:rPr>
        <w:fldChar w:fldCharType="begin" w:fldLock="1"/>
      </w:r>
      <w:r>
        <w:rPr>
          <w:lang w:val="en-US"/>
        </w:rPr>
        <w:instrText xml:space="preserve">ADDIN Mendeley Bibliography CSL_BIBLIOGRAPHY </w:instrText>
      </w:r>
      <w:r>
        <w:rPr>
          <w:lang w:val="en-US"/>
        </w:rPr>
        <w:fldChar w:fldCharType="separate"/>
      </w:r>
      <w:r w:rsidR="00083415" w:rsidRPr="00083415">
        <w:rPr>
          <w:rFonts w:cs="Times New Roman"/>
          <w:noProof/>
        </w:rPr>
        <w:t xml:space="preserve">1. </w:t>
      </w:r>
      <w:r w:rsidR="00083415" w:rsidRPr="00083415">
        <w:rPr>
          <w:rFonts w:cs="Times New Roman"/>
          <w:noProof/>
        </w:rPr>
        <w:tab/>
        <w:t>Bargaje R, Trachana K, Shelton MN, McGinnis CS, Zhou JX, Chadick C, et al. Cell population structure prior to bifurcation predicts efficiency of directed differentiation in human induced pluripotent cells. Proc Natl Acad Sci U S A. 2017;114: 2271–2276. doi:10.1073/pnas.1621412114</w:t>
      </w:r>
    </w:p>
    <w:p w14:paraId="282B21BF" w14:textId="77777777" w:rsidR="00083415" w:rsidRPr="00083415" w:rsidRDefault="00083415" w:rsidP="00083415">
      <w:pPr>
        <w:widowControl w:val="0"/>
        <w:autoSpaceDE w:val="0"/>
        <w:autoSpaceDN w:val="0"/>
        <w:adjustRightInd w:val="0"/>
        <w:ind w:left="640" w:hanging="640"/>
        <w:rPr>
          <w:rFonts w:cs="Times New Roman"/>
          <w:noProof/>
        </w:rPr>
      </w:pPr>
      <w:r w:rsidRPr="00083415">
        <w:rPr>
          <w:rFonts w:cs="Times New Roman"/>
          <w:noProof/>
        </w:rPr>
        <w:t xml:space="preserve">2. </w:t>
      </w:r>
      <w:r w:rsidRPr="00083415">
        <w:rPr>
          <w:rFonts w:cs="Times New Roman"/>
          <w:noProof/>
        </w:rPr>
        <w:tab/>
        <w:t>Papili Gao N, Hartmann T, Fang T, Gunawan R. CALISTA: Clustering and LINEAGE Inference in Single-Cell Transcriptional Analysis. Front Bioeng Biotechnol. 2020;8: 18. doi:10.3389/fbioe.2020.00018</w:t>
      </w:r>
    </w:p>
    <w:p w14:paraId="19BA54BC" w14:textId="77777777" w:rsidR="00083415" w:rsidRPr="00083415" w:rsidRDefault="00083415" w:rsidP="00083415">
      <w:pPr>
        <w:widowControl w:val="0"/>
        <w:autoSpaceDE w:val="0"/>
        <w:autoSpaceDN w:val="0"/>
        <w:adjustRightInd w:val="0"/>
        <w:ind w:left="640" w:hanging="640"/>
        <w:rPr>
          <w:rFonts w:cs="Times New Roman"/>
          <w:noProof/>
        </w:rPr>
      </w:pPr>
      <w:r w:rsidRPr="00083415">
        <w:rPr>
          <w:rFonts w:cs="Times New Roman"/>
          <w:noProof/>
        </w:rPr>
        <w:t xml:space="preserve">3. </w:t>
      </w:r>
      <w:r w:rsidRPr="00083415">
        <w:rPr>
          <w:rFonts w:cs="Times New Roman"/>
          <w:noProof/>
        </w:rPr>
        <w:tab/>
        <w:t>Wang B, Zhu J, Pierson E, Ramazzotti D, Batzoglou S. Visualization and analysis of single-cell RNA-seq data by kernel-based similarity learning. Nat Publ Gr. 2017;14. doi:10.1038/nMeth.4207</w:t>
      </w:r>
    </w:p>
    <w:p w14:paraId="1C517A8E" w14:textId="77777777" w:rsidR="00083415" w:rsidRPr="00083415" w:rsidRDefault="00083415" w:rsidP="00083415">
      <w:pPr>
        <w:widowControl w:val="0"/>
        <w:autoSpaceDE w:val="0"/>
        <w:autoSpaceDN w:val="0"/>
        <w:adjustRightInd w:val="0"/>
        <w:ind w:left="640" w:hanging="640"/>
        <w:rPr>
          <w:rFonts w:cs="Times New Roman"/>
          <w:noProof/>
        </w:rPr>
      </w:pPr>
      <w:r w:rsidRPr="00083415">
        <w:rPr>
          <w:rFonts w:cs="Times New Roman"/>
          <w:noProof/>
        </w:rPr>
        <w:t xml:space="preserve">4. </w:t>
      </w:r>
      <w:r w:rsidRPr="00083415">
        <w:rPr>
          <w:rFonts w:cs="Times New Roman"/>
          <w:noProof/>
        </w:rPr>
        <w:tab/>
        <w:t>Chen EY, Tan CM, Kou Y, Duan Q, Wang Z, Meirelles G, et al. Enrichr: interactive and collaborative HTML5 gene list enrichment analysis tool. BMC Bioinformatics. 2013;14: 128. doi:10.1186/1471-2105-14-128</w:t>
      </w:r>
    </w:p>
    <w:p w14:paraId="7CD74D48" w14:textId="77777777" w:rsidR="00083415" w:rsidRPr="00083415" w:rsidRDefault="00083415" w:rsidP="00083415">
      <w:pPr>
        <w:widowControl w:val="0"/>
        <w:autoSpaceDE w:val="0"/>
        <w:autoSpaceDN w:val="0"/>
        <w:adjustRightInd w:val="0"/>
        <w:ind w:left="640" w:hanging="640"/>
        <w:rPr>
          <w:rFonts w:cs="Times New Roman"/>
          <w:noProof/>
        </w:rPr>
      </w:pPr>
      <w:r w:rsidRPr="00083415">
        <w:rPr>
          <w:rFonts w:cs="Times New Roman"/>
          <w:noProof/>
        </w:rPr>
        <w:t xml:space="preserve">5. </w:t>
      </w:r>
      <w:r w:rsidRPr="00083415">
        <w:rPr>
          <w:rFonts w:cs="Times New Roman"/>
          <w:noProof/>
        </w:rPr>
        <w:tab/>
        <w:t>Richard A, Boullu L, Herbach U, Bonnafoux A, Morin V, Vallin E, et al. Single-Cell-Based Analysis Highlights a Surge in Cell-to-Cell Molecular Variability Preceding Irreversible Commitment in a Differentiation Process. Teichmann SA, editor. PLOS Biol. 2016;14: e1002585. doi:10.1371/journal.pbio.1002585</w:t>
      </w:r>
    </w:p>
    <w:p w14:paraId="6ABCD018" w14:textId="77777777" w:rsidR="00083415" w:rsidRPr="00083415" w:rsidRDefault="00083415" w:rsidP="00083415">
      <w:pPr>
        <w:widowControl w:val="0"/>
        <w:autoSpaceDE w:val="0"/>
        <w:autoSpaceDN w:val="0"/>
        <w:adjustRightInd w:val="0"/>
        <w:ind w:left="640" w:hanging="640"/>
        <w:rPr>
          <w:rFonts w:cs="Times New Roman"/>
          <w:noProof/>
        </w:rPr>
      </w:pPr>
      <w:r w:rsidRPr="00083415">
        <w:rPr>
          <w:rFonts w:cs="Times New Roman"/>
          <w:noProof/>
        </w:rPr>
        <w:t xml:space="preserve">6. </w:t>
      </w:r>
      <w:r w:rsidRPr="00083415">
        <w:rPr>
          <w:rFonts w:cs="Times New Roman"/>
          <w:noProof/>
        </w:rPr>
        <w:tab/>
        <w:t>Stumpf PS, Smith RCG, Lenz M, Schuppert A, Müller F-J, Babtie A, et al. Stem Cell Differentiation as a Non-Markov Stochastic Process. Cell Syst. 2017;5: 268-282.e7. doi:10.1016/j.cels.2017.08.009</w:t>
      </w:r>
    </w:p>
    <w:p w14:paraId="68881C2E" w14:textId="77777777" w:rsidR="00083415" w:rsidRPr="00083415" w:rsidRDefault="00083415" w:rsidP="00083415">
      <w:pPr>
        <w:widowControl w:val="0"/>
        <w:autoSpaceDE w:val="0"/>
        <w:autoSpaceDN w:val="0"/>
        <w:adjustRightInd w:val="0"/>
        <w:ind w:left="640" w:hanging="640"/>
        <w:rPr>
          <w:rFonts w:cs="Times New Roman"/>
          <w:noProof/>
        </w:rPr>
      </w:pPr>
      <w:r w:rsidRPr="00083415">
        <w:rPr>
          <w:rFonts w:cs="Times New Roman"/>
          <w:noProof/>
        </w:rPr>
        <w:lastRenderedPageBreak/>
        <w:t xml:space="preserve">7. </w:t>
      </w:r>
      <w:r w:rsidRPr="00083415">
        <w:rPr>
          <w:rFonts w:cs="Times New Roman"/>
          <w:noProof/>
        </w:rPr>
        <w:tab/>
        <w:t>Moussy A, Cosette J, Parmentier R, da Silva C, Corre G, Richard A, et al. Integrated time-lapse and single-cell transcription studies highlight the variable and dynamic nature of human hematopoietic cell fate commitment. Huang S, editor. PLOS Biol. 2017;15: e2001867. doi:10.1371/journal.pbio.2001867</w:t>
      </w:r>
    </w:p>
    <w:p w14:paraId="48AE0D64" w14:textId="77777777" w:rsidR="00083415" w:rsidRPr="00083415" w:rsidRDefault="00083415" w:rsidP="00083415">
      <w:pPr>
        <w:widowControl w:val="0"/>
        <w:autoSpaceDE w:val="0"/>
        <w:autoSpaceDN w:val="0"/>
        <w:adjustRightInd w:val="0"/>
        <w:ind w:left="640" w:hanging="640"/>
        <w:rPr>
          <w:rFonts w:cs="Times New Roman"/>
          <w:noProof/>
        </w:rPr>
      </w:pPr>
      <w:r w:rsidRPr="00083415">
        <w:rPr>
          <w:rFonts w:cs="Times New Roman"/>
          <w:noProof/>
        </w:rPr>
        <w:t xml:space="preserve">8. </w:t>
      </w:r>
      <w:r w:rsidRPr="00083415">
        <w:rPr>
          <w:rFonts w:cs="Times New Roman"/>
          <w:noProof/>
        </w:rPr>
        <w:tab/>
        <w:t>Guo G, Huss M, Tong GQ, Wang C, Li Sun L, Clarke ND, et al. Resolution of cell fate decisions revealed by single-cell gene expression analysis from zygote to blastocyst. Dev Cell. 2010;18: 675–85. doi:10.1016/j.devcel.2010.02.012</w:t>
      </w:r>
    </w:p>
    <w:p w14:paraId="584498C2" w14:textId="77777777" w:rsidR="00083415" w:rsidRPr="00083415" w:rsidRDefault="00083415" w:rsidP="00083415">
      <w:pPr>
        <w:widowControl w:val="0"/>
        <w:autoSpaceDE w:val="0"/>
        <w:autoSpaceDN w:val="0"/>
        <w:adjustRightInd w:val="0"/>
        <w:ind w:left="640" w:hanging="640"/>
        <w:rPr>
          <w:rFonts w:cs="Times New Roman"/>
          <w:noProof/>
        </w:rPr>
      </w:pPr>
      <w:r w:rsidRPr="00083415">
        <w:rPr>
          <w:rFonts w:cs="Times New Roman"/>
          <w:noProof/>
        </w:rPr>
        <w:t xml:space="preserve">9. </w:t>
      </w:r>
      <w:r w:rsidRPr="00083415">
        <w:rPr>
          <w:rFonts w:cs="Times New Roman"/>
          <w:noProof/>
        </w:rPr>
        <w:tab/>
        <w:t>Nestorowa S, Hamey FK, Pijuan Sala B, Diamanti E, Shepherd M, Laurenti E, et al. A single-cell resolution map of mouse hematopoietic stem and progenitor cell differentiation. Blood. 2016;128: e20-31. doi:10.1182/blood-2016-05-716480</w:t>
      </w:r>
    </w:p>
    <w:p w14:paraId="5AA525BD" w14:textId="77777777" w:rsidR="00083415" w:rsidRPr="00083415" w:rsidRDefault="00083415" w:rsidP="00083415">
      <w:pPr>
        <w:widowControl w:val="0"/>
        <w:autoSpaceDE w:val="0"/>
        <w:autoSpaceDN w:val="0"/>
        <w:adjustRightInd w:val="0"/>
        <w:ind w:left="640" w:hanging="640"/>
        <w:rPr>
          <w:rFonts w:cs="Times New Roman"/>
          <w:noProof/>
        </w:rPr>
      </w:pPr>
      <w:r w:rsidRPr="00083415">
        <w:rPr>
          <w:rFonts w:cs="Times New Roman"/>
          <w:noProof/>
        </w:rPr>
        <w:t xml:space="preserve">10. </w:t>
      </w:r>
      <w:r w:rsidRPr="00083415">
        <w:rPr>
          <w:rFonts w:cs="Times New Roman"/>
          <w:noProof/>
        </w:rPr>
        <w:tab/>
        <w:t>La Manno G, Soldatov R, Zeisel A, Braun E, Hochgerner H, Petukhov V, et al. RNA velocity of single cells. Nature. 2018;560: 494–498. doi:10.1038/s41586-018-0414-6</w:t>
      </w:r>
    </w:p>
    <w:p w14:paraId="0CA5A6A5" w14:textId="77777777" w:rsidR="00083415" w:rsidRPr="00083415" w:rsidRDefault="00083415" w:rsidP="00083415">
      <w:pPr>
        <w:widowControl w:val="0"/>
        <w:autoSpaceDE w:val="0"/>
        <w:autoSpaceDN w:val="0"/>
        <w:adjustRightInd w:val="0"/>
        <w:ind w:left="640" w:hanging="640"/>
        <w:rPr>
          <w:rFonts w:cs="Times New Roman"/>
          <w:noProof/>
        </w:rPr>
      </w:pPr>
      <w:r w:rsidRPr="00083415">
        <w:rPr>
          <w:rFonts w:cs="Times New Roman"/>
          <w:noProof/>
        </w:rPr>
        <w:t xml:space="preserve">11. </w:t>
      </w:r>
      <w:r w:rsidRPr="00083415">
        <w:rPr>
          <w:rFonts w:cs="Times New Roman"/>
          <w:noProof/>
        </w:rPr>
        <w:tab/>
        <w:t>Kriegstein A, Alvarez-Buylla A. The Glial Nature of Embryonic and Adult Neural Stem Cells. 2009 [cited 16 Apr 2019]. doi:10.1146/annurev.neuro.051508.135600</w:t>
      </w:r>
    </w:p>
    <w:p w14:paraId="78013683" w14:textId="030A8FBA" w:rsidR="00D936B2" w:rsidRPr="00D936B2" w:rsidRDefault="00D936B2" w:rsidP="00083415">
      <w:pPr>
        <w:widowControl w:val="0"/>
        <w:autoSpaceDE w:val="0"/>
        <w:autoSpaceDN w:val="0"/>
        <w:adjustRightInd w:val="0"/>
        <w:ind w:left="640" w:hanging="640"/>
        <w:rPr>
          <w:lang w:val="en-US"/>
        </w:rPr>
      </w:pPr>
      <w:r>
        <w:rPr>
          <w:lang w:val="en-US"/>
        </w:rPr>
        <w:fldChar w:fldCharType="end"/>
      </w:r>
    </w:p>
    <w:p w14:paraId="61953513" w14:textId="77777777" w:rsidR="00D936B2" w:rsidRPr="00D936B2" w:rsidRDefault="00D936B2" w:rsidP="00D936B2">
      <w:pPr>
        <w:pStyle w:val="Heading1"/>
        <w:rPr>
          <w:lang w:val="en-US"/>
        </w:rPr>
      </w:pPr>
    </w:p>
    <w:sectPr w:rsidR="00D936B2" w:rsidRPr="00D936B2" w:rsidSect="00F346AC">
      <w:footerReference w:type="default" r:id="rId35"/>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E1BFC" w14:textId="77777777" w:rsidR="00950E73" w:rsidRDefault="00950E73" w:rsidP="00465DF9">
      <w:pPr>
        <w:spacing w:line="240" w:lineRule="auto"/>
      </w:pPr>
      <w:r>
        <w:separator/>
      </w:r>
    </w:p>
  </w:endnote>
  <w:endnote w:type="continuationSeparator" w:id="0">
    <w:p w14:paraId="616CE377" w14:textId="77777777" w:rsidR="00950E73" w:rsidRDefault="00950E73" w:rsidP="00465DF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28520626"/>
      <w:docPartObj>
        <w:docPartGallery w:val="Page Numbers (Bottom of Page)"/>
        <w:docPartUnique/>
      </w:docPartObj>
    </w:sdtPr>
    <w:sdtEndPr>
      <w:rPr>
        <w:noProof/>
      </w:rPr>
    </w:sdtEndPr>
    <w:sdtContent>
      <w:p w14:paraId="0D48E9DC" w14:textId="77777777" w:rsidR="00465DF9" w:rsidRDefault="00465DF9">
        <w:pPr>
          <w:pStyle w:val="Footer"/>
          <w:jc w:val="right"/>
        </w:pPr>
        <w:r>
          <w:fldChar w:fldCharType="begin"/>
        </w:r>
        <w:r>
          <w:instrText xml:space="preserve"> PAGE   \* MERGEFORMAT </w:instrText>
        </w:r>
        <w:r>
          <w:fldChar w:fldCharType="separate"/>
        </w:r>
        <w:r w:rsidR="00642E82">
          <w:rPr>
            <w:noProof/>
          </w:rPr>
          <w:t>1</w:t>
        </w:r>
        <w:r>
          <w:rPr>
            <w:noProof/>
          </w:rPr>
          <w:fldChar w:fldCharType="end"/>
        </w:r>
      </w:p>
    </w:sdtContent>
  </w:sdt>
  <w:p w14:paraId="414063CE" w14:textId="77777777" w:rsidR="00465DF9" w:rsidRDefault="00465DF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85A62A" w14:textId="77777777" w:rsidR="00950E73" w:rsidRDefault="00950E73" w:rsidP="00465DF9">
      <w:pPr>
        <w:spacing w:line="240" w:lineRule="auto"/>
      </w:pPr>
      <w:r>
        <w:separator/>
      </w:r>
    </w:p>
  </w:footnote>
  <w:footnote w:type="continuationSeparator" w:id="0">
    <w:p w14:paraId="74B4C1B7" w14:textId="77777777" w:rsidR="00950E73" w:rsidRDefault="00950E73" w:rsidP="00465DF9">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2768"/>
    <w:rsid w:val="00010274"/>
    <w:rsid w:val="00020D51"/>
    <w:rsid w:val="0002388C"/>
    <w:rsid w:val="00032768"/>
    <w:rsid w:val="00041421"/>
    <w:rsid w:val="00083415"/>
    <w:rsid w:val="00090292"/>
    <w:rsid w:val="0009647C"/>
    <w:rsid w:val="00096B0C"/>
    <w:rsid w:val="000A5CC9"/>
    <w:rsid w:val="000D6B12"/>
    <w:rsid w:val="00103CA1"/>
    <w:rsid w:val="001B06C8"/>
    <w:rsid w:val="001B5763"/>
    <w:rsid w:val="001D5452"/>
    <w:rsid w:val="00216F19"/>
    <w:rsid w:val="00227FC3"/>
    <w:rsid w:val="00273B0A"/>
    <w:rsid w:val="00295912"/>
    <w:rsid w:val="002A1D61"/>
    <w:rsid w:val="002B7ECA"/>
    <w:rsid w:val="002D2A40"/>
    <w:rsid w:val="002E0030"/>
    <w:rsid w:val="002F4094"/>
    <w:rsid w:val="00302386"/>
    <w:rsid w:val="00397E6E"/>
    <w:rsid w:val="00411785"/>
    <w:rsid w:val="004453DA"/>
    <w:rsid w:val="00465DF9"/>
    <w:rsid w:val="00480554"/>
    <w:rsid w:val="004E553A"/>
    <w:rsid w:val="00502130"/>
    <w:rsid w:val="00516F10"/>
    <w:rsid w:val="00517BBA"/>
    <w:rsid w:val="0064074C"/>
    <w:rsid w:val="00642E82"/>
    <w:rsid w:val="00667488"/>
    <w:rsid w:val="00732C23"/>
    <w:rsid w:val="00733DC6"/>
    <w:rsid w:val="007456B6"/>
    <w:rsid w:val="00796480"/>
    <w:rsid w:val="007A0EFB"/>
    <w:rsid w:val="00805ECB"/>
    <w:rsid w:val="0081542A"/>
    <w:rsid w:val="00824622"/>
    <w:rsid w:val="008450CF"/>
    <w:rsid w:val="00867A7F"/>
    <w:rsid w:val="008736F9"/>
    <w:rsid w:val="00884665"/>
    <w:rsid w:val="00890076"/>
    <w:rsid w:val="008A2632"/>
    <w:rsid w:val="008C1FCB"/>
    <w:rsid w:val="008D6CF9"/>
    <w:rsid w:val="008F4039"/>
    <w:rsid w:val="00927FC2"/>
    <w:rsid w:val="00950E73"/>
    <w:rsid w:val="00955A3E"/>
    <w:rsid w:val="0098317C"/>
    <w:rsid w:val="00990FD7"/>
    <w:rsid w:val="009B4686"/>
    <w:rsid w:val="009C087F"/>
    <w:rsid w:val="009C3DA2"/>
    <w:rsid w:val="00A07043"/>
    <w:rsid w:val="00A16971"/>
    <w:rsid w:val="00A264F7"/>
    <w:rsid w:val="00A53CD5"/>
    <w:rsid w:val="00A61B8E"/>
    <w:rsid w:val="00A70B09"/>
    <w:rsid w:val="00A910A5"/>
    <w:rsid w:val="00AA5086"/>
    <w:rsid w:val="00AA52D7"/>
    <w:rsid w:val="00AC1619"/>
    <w:rsid w:val="00B30D34"/>
    <w:rsid w:val="00B54652"/>
    <w:rsid w:val="00B86070"/>
    <w:rsid w:val="00B97528"/>
    <w:rsid w:val="00BA69DC"/>
    <w:rsid w:val="00BC4C5D"/>
    <w:rsid w:val="00BE0262"/>
    <w:rsid w:val="00BF609E"/>
    <w:rsid w:val="00C03C59"/>
    <w:rsid w:val="00C24C19"/>
    <w:rsid w:val="00C27AD2"/>
    <w:rsid w:val="00C47792"/>
    <w:rsid w:val="00C47E13"/>
    <w:rsid w:val="00C8326D"/>
    <w:rsid w:val="00C921EB"/>
    <w:rsid w:val="00D141CC"/>
    <w:rsid w:val="00D4200C"/>
    <w:rsid w:val="00D71C9C"/>
    <w:rsid w:val="00D936B2"/>
    <w:rsid w:val="00DB70B4"/>
    <w:rsid w:val="00DC313C"/>
    <w:rsid w:val="00DE312F"/>
    <w:rsid w:val="00E23C0C"/>
    <w:rsid w:val="00E444CE"/>
    <w:rsid w:val="00E57284"/>
    <w:rsid w:val="00E8003B"/>
    <w:rsid w:val="00E8283D"/>
    <w:rsid w:val="00E911CD"/>
    <w:rsid w:val="00EC78E3"/>
    <w:rsid w:val="00ED7074"/>
    <w:rsid w:val="00EE640F"/>
    <w:rsid w:val="00EF729B"/>
    <w:rsid w:val="00F010DF"/>
    <w:rsid w:val="00F070C1"/>
    <w:rsid w:val="00F173FC"/>
    <w:rsid w:val="00F2703E"/>
    <w:rsid w:val="00F346AC"/>
    <w:rsid w:val="00F54C4E"/>
    <w:rsid w:val="00F67C2E"/>
    <w:rsid w:val="00F84F23"/>
    <w:rsid w:val="00FB3BB6"/>
    <w:rsid w:val="00FC682F"/>
    <w:rsid w:val="00FF0B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A8E08A"/>
  <w14:defaultImageDpi w14:val="32767"/>
  <w15:chartTrackingRefBased/>
  <w15:docId w15:val="{21D67D01-3A72-864B-B205-41660E521E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pPr>
        <w:spacing w:line="480" w:lineRule="auto"/>
        <w:ind w:firstLine="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41CC"/>
    <w:rPr>
      <w:rFonts w:ascii="Times New Roman" w:hAnsi="Times New Roman"/>
      <w:color w:val="000000" w:themeColor="text1"/>
      <w:sz w:val="20"/>
    </w:rPr>
  </w:style>
  <w:style w:type="paragraph" w:styleId="Heading1">
    <w:name w:val="heading 1"/>
    <w:basedOn w:val="Normal"/>
    <w:next w:val="Normal"/>
    <w:link w:val="Heading1Char"/>
    <w:uiPriority w:val="9"/>
    <w:qFormat/>
    <w:rsid w:val="00FC682F"/>
    <w:pPr>
      <w:keepNext/>
      <w:keepLines/>
      <w:spacing w:before="120"/>
      <w:ind w:firstLine="0"/>
      <w:outlineLvl w:val="0"/>
    </w:pPr>
    <w:rPr>
      <w:rFonts w:eastAsiaTheme="majorEastAsia" w:cstheme="majorBidi"/>
      <w:b/>
      <w:caps/>
      <w:sz w:val="24"/>
      <w:szCs w:val="32"/>
    </w:rPr>
  </w:style>
  <w:style w:type="paragraph" w:styleId="Heading2">
    <w:name w:val="heading 2"/>
    <w:basedOn w:val="Normal"/>
    <w:next w:val="Normal"/>
    <w:link w:val="Heading2Char"/>
    <w:uiPriority w:val="9"/>
    <w:unhideWhenUsed/>
    <w:qFormat/>
    <w:rsid w:val="00480554"/>
    <w:pPr>
      <w:keepNext/>
      <w:keepLines/>
      <w:spacing w:before="160" w:after="120"/>
      <w:ind w:firstLine="0"/>
      <w:outlineLvl w:val="1"/>
    </w:pPr>
    <w:rPr>
      <w:rFonts w:eastAsiaTheme="majorEastAsia" w:cstheme="majorBidi"/>
      <w:b/>
      <w:color w:val="auto"/>
      <w:szCs w:val="26"/>
    </w:rPr>
  </w:style>
  <w:style w:type="paragraph" w:styleId="Heading3">
    <w:name w:val="heading 3"/>
    <w:basedOn w:val="Normal"/>
    <w:next w:val="Normal"/>
    <w:link w:val="Heading3Char"/>
    <w:uiPriority w:val="9"/>
    <w:semiHidden/>
    <w:unhideWhenUsed/>
    <w:qFormat/>
    <w:rsid w:val="00480554"/>
    <w:pPr>
      <w:keepNext/>
      <w:keepLines/>
      <w:spacing w:before="160" w:after="120"/>
      <w:ind w:firstLine="0"/>
      <w:outlineLvl w:val="2"/>
    </w:pPr>
    <w:rPr>
      <w:rFonts w:eastAsiaTheme="majorEastAsia" w:cstheme="majorBidi"/>
      <w:i/>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B86070"/>
    <w:rPr>
      <w:color w:val="0563C1" w:themeColor="hyperlink"/>
      <w:u w:val="single"/>
    </w:rPr>
  </w:style>
  <w:style w:type="paragraph" w:styleId="Title">
    <w:name w:val="Title"/>
    <w:basedOn w:val="Normal"/>
    <w:next w:val="Normal"/>
    <w:link w:val="TitleChar"/>
    <w:uiPriority w:val="10"/>
    <w:qFormat/>
    <w:rsid w:val="00480554"/>
    <w:pPr>
      <w:spacing w:before="120" w:after="120"/>
      <w:ind w:firstLine="0"/>
      <w:contextualSpacing/>
      <w:jc w:val="center"/>
    </w:pPr>
    <w:rPr>
      <w:rFonts w:eastAsiaTheme="majorEastAsia" w:cstheme="majorBidi"/>
      <w:b/>
      <w:spacing w:val="-10"/>
      <w:kern w:val="28"/>
      <w:sz w:val="32"/>
      <w:szCs w:val="56"/>
    </w:rPr>
  </w:style>
  <w:style w:type="character" w:customStyle="1" w:styleId="TitleChar">
    <w:name w:val="Title Char"/>
    <w:basedOn w:val="DefaultParagraphFont"/>
    <w:link w:val="Title"/>
    <w:uiPriority w:val="10"/>
    <w:rsid w:val="00480554"/>
    <w:rPr>
      <w:rFonts w:ascii="Times New Roman" w:eastAsiaTheme="majorEastAsia" w:hAnsi="Times New Roman" w:cstheme="majorBidi"/>
      <w:b/>
      <w:color w:val="000000" w:themeColor="text1"/>
      <w:spacing w:val="-10"/>
      <w:kern w:val="28"/>
      <w:sz w:val="32"/>
      <w:szCs w:val="56"/>
    </w:rPr>
  </w:style>
  <w:style w:type="character" w:customStyle="1" w:styleId="Heading1Char">
    <w:name w:val="Heading 1 Char"/>
    <w:basedOn w:val="DefaultParagraphFont"/>
    <w:link w:val="Heading1"/>
    <w:uiPriority w:val="9"/>
    <w:rsid w:val="00FC682F"/>
    <w:rPr>
      <w:rFonts w:ascii="Times New Roman" w:eastAsiaTheme="majorEastAsia" w:hAnsi="Times New Roman" w:cstheme="majorBidi"/>
      <w:b/>
      <w:caps/>
      <w:color w:val="000000" w:themeColor="text1"/>
      <w:szCs w:val="32"/>
    </w:rPr>
  </w:style>
  <w:style w:type="paragraph" w:styleId="NoSpacing">
    <w:name w:val="No Spacing"/>
    <w:uiPriority w:val="1"/>
    <w:rsid w:val="00465DF9"/>
    <w:rPr>
      <w:rFonts w:ascii="Times New Roman" w:hAnsi="Times New Roman"/>
      <w:color w:val="000000" w:themeColor="text1"/>
      <w:sz w:val="20"/>
    </w:rPr>
  </w:style>
  <w:style w:type="character" w:customStyle="1" w:styleId="Heading2Char">
    <w:name w:val="Heading 2 Char"/>
    <w:basedOn w:val="DefaultParagraphFont"/>
    <w:link w:val="Heading2"/>
    <w:uiPriority w:val="9"/>
    <w:rsid w:val="00480554"/>
    <w:rPr>
      <w:rFonts w:ascii="Times New Roman" w:eastAsiaTheme="majorEastAsia" w:hAnsi="Times New Roman" w:cstheme="majorBidi"/>
      <w:b/>
      <w:sz w:val="20"/>
      <w:szCs w:val="26"/>
    </w:rPr>
  </w:style>
  <w:style w:type="character" w:styleId="SubtleEmphasis">
    <w:name w:val="Subtle Emphasis"/>
    <w:basedOn w:val="DefaultParagraphFont"/>
    <w:uiPriority w:val="19"/>
    <w:qFormat/>
    <w:rsid w:val="00465DF9"/>
    <w:rPr>
      <w:i/>
      <w:iCs/>
      <w:color w:val="404040" w:themeColor="text1" w:themeTint="BF"/>
    </w:rPr>
  </w:style>
  <w:style w:type="paragraph" w:customStyle="1" w:styleId="Head3">
    <w:name w:val="Head 3"/>
    <w:basedOn w:val="Heading1"/>
    <w:link w:val="Head3Char"/>
    <w:rsid w:val="00465DF9"/>
    <w:rPr>
      <w:b w:val="0"/>
      <w:i/>
    </w:rPr>
  </w:style>
  <w:style w:type="paragraph" w:customStyle="1" w:styleId="Head4">
    <w:name w:val="Head 4"/>
    <w:basedOn w:val="Head3"/>
    <w:link w:val="Head4Char"/>
    <w:rsid w:val="00465DF9"/>
    <w:rPr>
      <w:rFonts w:eastAsia="MS Mincho"/>
      <w:sz w:val="20"/>
    </w:rPr>
  </w:style>
  <w:style w:type="character" w:customStyle="1" w:styleId="Head3Char">
    <w:name w:val="Head 3 Char"/>
    <w:basedOn w:val="Heading1Char"/>
    <w:link w:val="Head3"/>
    <w:rsid w:val="00465DF9"/>
    <w:rPr>
      <w:rFonts w:ascii="Times New Roman" w:eastAsiaTheme="majorEastAsia" w:hAnsi="Times New Roman" w:cstheme="majorBidi"/>
      <w:b w:val="0"/>
      <w:i/>
      <w:caps/>
      <w:color w:val="000000" w:themeColor="text1"/>
      <w:sz w:val="28"/>
      <w:szCs w:val="32"/>
    </w:rPr>
  </w:style>
  <w:style w:type="paragraph" w:styleId="Header">
    <w:name w:val="header"/>
    <w:basedOn w:val="Normal"/>
    <w:link w:val="HeaderChar"/>
    <w:uiPriority w:val="99"/>
    <w:unhideWhenUsed/>
    <w:rsid w:val="00465DF9"/>
    <w:pPr>
      <w:tabs>
        <w:tab w:val="center" w:pos="4680"/>
        <w:tab w:val="right" w:pos="9360"/>
      </w:tabs>
      <w:spacing w:line="240" w:lineRule="auto"/>
    </w:pPr>
  </w:style>
  <w:style w:type="character" w:customStyle="1" w:styleId="Head4Char">
    <w:name w:val="Head 4 Char"/>
    <w:basedOn w:val="Head3Char"/>
    <w:link w:val="Head4"/>
    <w:rsid w:val="00465DF9"/>
    <w:rPr>
      <w:rFonts w:ascii="Times New Roman" w:eastAsia="MS Mincho" w:hAnsi="Times New Roman" w:cstheme="majorBidi"/>
      <w:b w:val="0"/>
      <w:i/>
      <w:caps/>
      <w:color w:val="000000" w:themeColor="text1"/>
      <w:sz w:val="20"/>
      <w:szCs w:val="32"/>
    </w:rPr>
  </w:style>
  <w:style w:type="character" w:customStyle="1" w:styleId="HeaderChar">
    <w:name w:val="Header Char"/>
    <w:basedOn w:val="DefaultParagraphFont"/>
    <w:link w:val="Header"/>
    <w:uiPriority w:val="99"/>
    <w:rsid w:val="00465DF9"/>
    <w:rPr>
      <w:rFonts w:ascii="Times New Roman" w:hAnsi="Times New Roman"/>
      <w:color w:val="000000" w:themeColor="text1"/>
      <w:sz w:val="20"/>
    </w:rPr>
  </w:style>
  <w:style w:type="paragraph" w:styleId="Footer">
    <w:name w:val="footer"/>
    <w:basedOn w:val="Normal"/>
    <w:link w:val="FooterChar"/>
    <w:uiPriority w:val="99"/>
    <w:unhideWhenUsed/>
    <w:rsid w:val="00465DF9"/>
    <w:pPr>
      <w:tabs>
        <w:tab w:val="center" w:pos="4680"/>
        <w:tab w:val="right" w:pos="9360"/>
      </w:tabs>
      <w:spacing w:line="240" w:lineRule="auto"/>
    </w:pPr>
  </w:style>
  <w:style w:type="character" w:customStyle="1" w:styleId="FooterChar">
    <w:name w:val="Footer Char"/>
    <w:basedOn w:val="DefaultParagraphFont"/>
    <w:link w:val="Footer"/>
    <w:uiPriority w:val="99"/>
    <w:rsid w:val="00465DF9"/>
    <w:rPr>
      <w:rFonts w:ascii="Times New Roman" w:hAnsi="Times New Roman"/>
      <w:color w:val="000000" w:themeColor="text1"/>
      <w:sz w:val="20"/>
    </w:rPr>
  </w:style>
  <w:style w:type="character" w:customStyle="1" w:styleId="Heading3Char">
    <w:name w:val="Heading 3 Char"/>
    <w:basedOn w:val="DefaultParagraphFont"/>
    <w:link w:val="Heading3"/>
    <w:uiPriority w:val="9"/>
    <w:semiHidden/>
    <w:rsid w:val="00480554"/>
    <w:rPr>
      <w:rFonts w:ascii="Times New Roman" w:eastAsiaTheme="majorEastAsia" w:hAnsi="Times New Roman" w:cstheme="majorBidi"/>
      <w:i/>
      <w:sz w:val="20"/>
    </w:rPr>
  </w:style>
  <w:style w:type="paragraph" w:styleId="ListParagraph">
    <w:name w:val="List Paragraph"/>
    <w:basedOn w:val="Normal"/>
    <w:uiPriority w:val="34"/>
    <w:qFormat/>
    <w:rsid w:val="00020D51"/>
    <w:pPr>
      <w:ind w:left="720"/>
      <w:contextualSpacing/>
    </w:pPr>
  </w:style>
  <w:style w:type="paragraph" w:styleId="Subtitle">
    <w:name w:val="Subtitle"/>
    <w:basedOn w:val="Normal"/>
    <w:next w:val="Normal"/>
    <w:link w:val="SubtitleChar"/>
    <w:uiPriority w:val="11"/>
    <w:qFormat/>
    <w:rsid w:val="00480554"/>
    <w:pPr>
      <w:numPr>
        <w:ilvl w:val="1"/>
      </w:numPr>
      <w:spacing w:before="120" w:after="280"/>
      <w:ind w:firstLine="720"/>
    </w:pPr>
    <w:rPr>
      <w:rFonts w:eastAsiaTheme="minorEastAsia"/>
      <w:spacing w:val="15"/>
      <w:sz w:val="24"/>
      <w:szCs w:val="22"/>
    </w:rPr>
  </w:style>
  <w:style w:type="character" w:customStyle="1" w:styleId="SubtitleChar">
    <w:name w:val="Subtitle Char"/>
    <w:basedOn w:val="DefaultParagraphFont"/>
    <w:link w:val="Subtitle"/>
    <w:uiPriority w:val="11"/>
    <w:rsid w:val="00480554"/>
    <w:rPr>
      <w:rFonts w:ascii="Times New Roman" w:eastAsiaTheme="minorEastAsia" w:hAnsi="Times New Roman"/>
      <w:color w:val="000000" w:themeColor="text1"/>
      <w:spacing w:val="15"/>
      <w:szCs w:val="22"/>
    </w:rPr>
  </w:style>
  <w:style w:type="table" w:styleId="TableGrid">
    <w:name w:val="Table Grid"/>
    <w:basedOn w:val="TableNormal"/>
    <w:uiPriority w:val="39"/>
    <w:rsid w:val="00BC4C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BC4C5D"/>
    <w:rPr>
      <w:color w:val="808080"/>
    </w:rPr>
  </w:style>
  <w:style w:type="paragraph" w:styleId="Caption">
    <w:name w:val="caption"/>
    <w:basedOn w:val="Normal"/>
    <w:next w:val="Normal"/>
    <w:uiPriority w:val="35"/>
    <w:unhideWhenUsed/>
    <w:qFormat/>
    <w:rsid w:val="00DB70B4"/>
    <w:pPr>
      <w:spacing w:after="200" w:line="240" w:lineRule="auto"/>
    </w:pPr>
    <w:rPr>
      <w:i/>
      <w:iCs/>
      <w:color w:val="44546A" w:themeColor="text2"/>
      <w:sz w:val="18"/>
      <w:szCs w:val="18"/>
    </w:rPr>
  </w:style>
  <w:style w:type="paragraph" w:customStyle="1" w:styleId="References">
    <w:name w:val="References"/>
    <w:basedOn w:val="Normal"/>
    <w:link w:val="ReferencesChar"/>
    <w:qFormat/>
    <w:rsid w:val="00480554"/>
    <w:pPr>
      <w:widowControl w:val="0"/>
      <w:autoSpaceDE w:val="0"/>
      <w:autoSpaceDN w:val="0"/>
      <w:adjustRightInd w:val="0"/>
      <w:ind w:firstLine="0"/>
    </w:pPr>
    <w:rPr>
      <w:rFonts w:cs="Times New Roman"/>
      <w:noProof/>
    </w:rPr>
  </w:style>
  <w:style w:type="character" w:customStyle="1" w:styleId="ReferencesChar">
    <w:name w:val="References Char"/>
    <w:basedOn w:val="DefaultParagraphFont"/>
    <w:link w:val="References"/>
    <w:rsid w:val="00480554"/>
    <w:rPr>
      <w:rFonts w:ascii="Times New Roman" w:hAnsi="Times New Roman" w:cs="Times New Roman"/>
      <w:noProof/>
      <w:color w:val="000000" w:themeColor="text1"/>
      <w:sz w:val="20"/>
    </w:rPr>
  </w:style>
  <w:style w:type="character" w:styleId="CommentReference">
    <w:name w:val="annotation reference"/>
    <w:basedOn w:val="DefaultParagraphFont"/>
    <w:uiPriority w:val="99"/>
    <w:semiHidden/>
    <w:unhideWhenUsed/>
    <w:rsid w:val="00A07043"/>
    <w:rPr>
      <w:sz w:val="16"/>
      <w:szCs w:val="16"/>
    </w:rPr>
  </w:style>
  <w:style w:type="paragraph" w:styleId="CommentText">
    <w:name w:val="annotation text"/>
    <w:basedOn w:val="Normal"/>
    <w:link w:val="CommentTextChar"/>
    <w:uiPriority w:val="99"/>
    <w:unhideWhenUsed/>
    <w:rsid w:val="00A07043"/>
    <w:pPr>
      <w:spacing w:after="160" w:line="240" w:lineRule="auto"/>
      <w:ind w:firstLine="340"/>
      <w:jc w:val="both"/>
    </w:pPr>
    <w:rPr>
      <w:sz w:val="24"/>
      <w:szCs w:val="20"/>
    </w:rPr>
  </w:style>
  <w:style w:type="character" w:customStyle="1" w:styleId="CommentTextChar">
    <w:name w:val="Comment Text Char"/>
    <w:basedOn w:val="DefaultParagraphFont"/>
    <w:link w:val="CommentText"/>
    <w:uiPriority w:val="99"/>
    <w:rsid w:val="00A07043"/>
    <w:rPr>
      <w:rFonts w:ascii="Times New Roman" w:hAnsi="Times New Roman"/>
      <w:color w:val="000000" w:themeColor="text1"/>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29655">
      <w:bodyDiv w:val="1"/>
      <w:marLeft w:val="0"/>
      <w:marRight w:val="0"/>
      <w:marTop w:val="0"/>
      <w:marBottom w:val="0"/>
      <w:divBdr>
        <w:top w:val="none" w:sz="0" w:space="0" w:color="auto"/>
        <w:left w:val="none" w:sz="0" w:space="0" w:color="auto"/>
        <w:bottom w:val="none" w:sz="0" w:space="0" w:color="auto"/>
        <w:right w:val="none" w:sz="0" w:space="0" w:color="auto"/>
      </w:divBdr>
    </w:div>
    <w:div w:id="152842402">
      <w:bodyDiv w:val="1"/>
      <w:marLeft w:val="0"/>
      <w:marRight w:val="0"/>
      <w:marTop w:val="0"/>
      <w:marBottom w:val="0"/>
      <w:divBdr>
        <w:top w:val="none" w:sz="0" w:space="0" w:color="auto"/>
        <w:left w:val="none" w:sz="0" w:space="0" w:color="auto"/>
        <w:bottom w:val="none" w:sz="0" w:space="0" w:color="auto"/>
        <w:right w:val="none" w:sz="0" w:space="0" w:color="auto"/>
      </w:divBdr>
    </w:div>
    <w:div w:id="164129236">
      <w:bodyDiv w:val="1"/>
      <w:marLeft w:val="0"/>
      <w:marRight w:val="0"/>
      <w:marTop w:val="0"/>
      <w:marBottom w:val="0"/>
      <w:divBdr>
        <w:top w:val="none" w:sz="0" w:space="0" w:color="auto"/>
        <w:left w:val="none" w:sz="0" w:space="0" w:color="auto"/>
        <w:bottom w:val="none" w:sz="0" w:space="0" w:color="auto"/>
        <w:right w:val="none" w:sz="0" w:space="0" w:color="auto"/>
      </w:divBdr>
    </w:div>
    <w:div w:id="451676331">
      <w:bodyDiv w:val="1"/>
      <w:marLeft w:val="0"/>
      <w:marRight w:val="0"/>
      <w:marTop w:val="0"/>
      <w:marBottom w:val="0"/>
      <w:divBdr>
        <w:top w:val="none" w:sz="0" w:space="0" w:color="auto"/>
        <w:left w:val="none" w:sz="0" w:space="0" w:color="auto"/>
        <w:bottom w:val="none" w:sz="0" w:space="0" w:color="auto"/>
        <w:right w:val="none" w:sz="0" w:space="0" w:color="auto"/>
      </w:divBdr>
    </w:div>
    <w:div w:id="704990385">
      <w:bodyDiv w:val="1"/>
      <w:marLeft w:val="0"/>
      <w:marRight w:val="0"/>
      <w:marTop w:val="0"/>
      <w:marBottom w:val="0"/>
      <w:divBdr>
        <w:top w:val="none" w:sz="0" w:space="0" w:color="auto"/>
        <w:left w:val="none" w:sz="0" w:space="0" w:color="auto"/>
        <w:bottom w:val="none" w:sz="0" w:space="0" w:color="auto"/>
        <w:right w:val="none" w:sz="0" w:space="0" w:color="auto"/>
      </w:divBdr>
      <w:divsChild>
        <w:div w:id="665868162">
          <w:marLeft w:val="0"/>
          <w:marRight w:val="0"/>
          <w:marTop w:val="0"/>
          <w:marBottom w:val="0"/>
          <w:divBdr>
            <w:top w:val="none" w:sz="0" w:space="0" w:color="auto"/>
            <w:left w:val="none" w:sz="0" w:space="0" w:color="auto"/>
            <w:bottom w:val="none" w:sz="0" w:space="0" w:color="auto"/>
            <w:right w:val="none" w:sz="0" w:space="0" w:color="auto"/>
          </w:divBdr>
          <w:divsChild>
            <w:div w:id="446970641">
              <w:marLeft w:val="0"/>
              <w:marRight w:val="0"/>
              <w:marTop w:val="0"/>
              <w:marBottom w:val="0"/>
              <w:divBdr>
                <w:top w:val="none" w:sz="0" w:space="0" w:color="auto"/>
                <w:left w:val="none" w:sz="0" w:space="0" w:color="auto"/>
                <w:bottom w:val="none" w:sz="0" w:space="0" w:color="auto"/>
                <w:right w:val="none" w:sz="0" w:space="0" w:color="auto"/>
              </w:divBdr>
              <w:divsChild>
                <w:div w:id="478310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8398776">
      <w:bodyDiv w:val="1"/>
      <w:marLeft w:val="0"/>
      <w:marRight w:val="0"/>
      <w:marTop w:val="0"/>
      <w:marBottom w:val="0"/>
      <w:divBdr>
        <w:top w:val="none" w:sz="0" w:space="0" w:color="auto"/>
        <w:left w:val="none" w:sz="0" w:space="0" w:color="auto"/>
        <w:bottom w:val="none" w:sz="0" w:space="0" w:color="auto"/>
        <w:right w:val="none" w:sz="0" w:space="0" w:color="auto"/>
      </w:divBdr>
    </w:div>
    <w:div w:id="872577572">
      <w:bodyDiv w:val="1"/>
      <w:marLeft w:val="0"/>
      <w:marRight w:val="0"/>
      <w:marTop w:val="0"/>
      <w:marBottom w:val="0"/>
      <w:divBdr>
        <w:top w:val="none" w:sz="0" w:space="0" w:color="auto"/>
        <w:left w:val="none" w:sz="0" w:space="0" w:color="auto"/>
        <w:bottom w:val="none" w:sz="0" w:space="0" w:color="auto"/>
        <w:right w:val="none" w:sz="0" w:space="0" w:color="auto"/>
      </w:divBdr>
    </w:div>
    <w:div w:id="1315715130">
      <w:bodyDiv w:val="1"/>
      <w:marLeft w:val="0"/>
      <w:marRight w:val="0"/>
      <w:marTop w:val="0"/>
      <w:marBottom w:val="0"/>
      <w:divBdr>
        <w:top w:val="none" w:sz="0" w:space="0" w:color="auto"/>
        <w:left w:val="none" w:sz="0" w:space="0" w:color="auto"/>
        <w:bottom w:val="none" w:sz="0" w:space="0" w:color="auto"/>
        <w:right w:val="none" w:sz="0" w:space="0" w:color="auto"/>
      </w:divBdr>
    </w:div>
    <w:div w:id="1426995370">
      <w:bodyDiv w:val="1"/>
      <w:marLeft w:val="0"/>
      <w:marRight w:val="0"/>
      <w:marTop w:val="0"/>
      <w:marBottom w:val="0"/>
      <w:divBdr>
        <w:top w:val="none" w:sz="0" w:space="0" w:color="auto"/>
        <w:left w:val="none" w:sz="0" w:space="0" w:color="auto"/>
        <w:bottom w:val="none" w:sz="0" w:space="0" w:color="auto"/>
        <w:right w:val="none" w:sz="0" w:space="0" w:color="auto"/>
      </w:divBdr>
    </w:div>
    <w:div w:id="1794055694">
      <w:bodyDiv w:val="1"/>
      <w:marLeft w:val="0"/>
      <w:marRight w:val="0"/>
      <w:marTop w:val="0"/>
      <w:marBottom w:val="0"/>
      <w:divBdr>
        <w:top w:val="none" w:sz="0" w:space="0" w:color="auto"/>
        <w:left w:val="none" w:sz="0" w:space="0" w:color="auto"/>
        <w:bottom w:val="none" w:sz="0" w:space="0" w:color="auto"/>
        <w:right w:val="none" w:sz="0" w:space="0" w:color="auto"/>
      </w:divBdr>
      <w:divsChild>
        <w:div w:id="1627740356">
          <w:marLeft w:val="0"/>
          <w:marRight w:val="0"/>
          <w:marTop w:val="0"/>
          <w:marBottom w:val="0"/>
          <w:divBdr>
            <w:top w:val="none" w:sz="0" w:space="0" w:color="auto"/>
            <w:left w:val="none" w:sz="0" w:space="0" w:color="auto"/>
            <w:bottom w:val="none" w:sz="0" w:space="0" w:color="auto"/>
            <w:right w:val="none" w:sz="0" w:space="0" w:color="auto"/>
          </w:divBdr>
          <w:divsChild>
            <w:div w:id="767653635">
              <w:marLeft w:val="0"/>
              <w:marRight w:val="0"/>
              <w:marTop w:val="0"/>
              <w:marBottom w:val="0"/>
              <w:divBdr>
                <w:top w:val="none" w:sz="0" w:space="0" w:color="auto"/>
                <w:left w:val="none" w:sz="0" w:space="0" w:color="auto"/>
                <w:bottom w:val="none" w:sz="0" w:space="0" w:color="auto"/>
                <w:right w:val="none" w:sz="0" w:space="0" w:color="auto"/>
              </w:divBdr>
              <w:divsChild>
                <w:div w:id="11759528">
                  <w:marLeft w:val="0"/>
                  <w:marRight w:val="0"/>
                  <w:marTop w:val="0"/>
                  <w:marBottom w:val="0"/>
                  <w:divBdr>
                    <w:top w:val="none" w:sz="0" w:space="0" w:color="auto"/>
                    <w:left w:val="none" w:sz="0" w:space="0" w:color="auto"/>
                    <w:bottom w:val="none" w:sz="0" w:space="0" w:color="auto"/>
                    <w:right w:val="none" w:sz="0" w:space="0" w:color="auto"/>
                  </w:divBdr>
                  <w:divsChild>
                    <w:div w:id="2119176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emf"/><Relationship Id="rId21" Type="http://schemas.openxmlformats.org/officeDocument/2006/relationships/image" Target="media/image15.emf"/><Relationship Id="rId34" Type="http://schemas.openxmlformats.org/officeDocument/2006/relationships/image" Target="media/image28.emf"/><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7.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emf"/><Relationship Id="rId29" Type="http://schemas.openxmlformats.org/officeDocument/2006/relationships/image" Target="media/image23.emf"/><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tif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fontTable" Target="fontTable.xml"/><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image" Target="media/image25.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footer" Target="footer1.xml"/><Relationship Id="rId8" Type="http://schemas.openxmlformats.org/officeDocument/2006/relationships/image" Target="media/image2.emf"/><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9608A3-3B47-D34F-BF86-F427388A4C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6913</TotalTime>
  <Pages>10</Pages>
  <Words>10506</Words>
  <Characters>59889</Characters>
  <Application>Microsoft Office Word</Application>
  <DocSecurity>0</DocSecurity>
  <Lines>499</Lines>
  <Paragraphs>140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70255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Nan P</dc:creator>
  <cp:keywords/>
  <dc:description/>
  <cp:lastModifiedBy>Rudiyanto Gunawan</cp:lastModifiedBy>
  <cp:revision>76</cp:revision>
  <dcterms:created xsi:type="dcterms:W3CDTF">2018-11-02T14:32:00Z</dcterms:created>
  <dcterms:modified xsi:type="dcterms:W3CDTF">2023-03-27T20:49:00Z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http://www.zotero.org/styles/apa</vt:lpwstr>
  </property>
  <property fmtid="{D5CDD505-2E9C-101B-9397-08002B2CF9AE}" pid="3" name="Mendeley Recent Style Name 0_1">
    <vt:lpwstr>American Psychological Association 6th edition</vt:lpwstr>
  </property>
  <property fmtid="{D5CDD505-2E9C-101B-9397-08002B2CF9AE}" pid="4" name="Mendeley Recent Style Id 1_1">
    <vt:lpwstr>http://www.zotero.org/styles/bioinformatics</vt:lpwstr>
  </property>
  <property fmtid="{D5CDD505-2E9C-101B-9397-08002B2CF9AE}" pid="5" name="Mendeley Recent Style Name 1_1">
    <vt:lpwstr>Bioinformatics</vt:lpwstr>
  </property>
  <property fmtid="{D5CDD505-2E9C-101B-9397-08002B2CF9AE}" pid="6" name="Mendeley Recent Style Id 2_1">
    <vt:lpwstr>http://www.zotero.org/styles/cell-systems</vt:lpwstr>
  </property>
  <property fmtid="{D5CDD505-2E9C-101B-9397-08002B2CF9AE}" pid="7" name="Mendeley Recent Style Name 2_1">
    <vt:lpwstr>Cell Systems</vt:lpwstr>
  </property>
  <property fmtid="{D5CDD505-2E9C-101B-9397-08002B2CF9AE}" pid="8" name="Mendeley Recent Style Id 3_1">
    <vt:lpwstr>http://www.zotero.org/styles/chicago-author-date</vt:lpwstr>
  </property>
  <property fmtid="{D5CDD505-2E9C-101B-9397-08002B2CF9AE}" pid="9" name="Mendeley Recent Style Name 3_1">
    <vt:lpwstr>Chicago Manual of Style 17th edition (author-date)</vt:lpwstr>
  </property>
  <property fmtid="{D5CDD505-2E9C-101B-9397-08002B2CF9AE}" pid="10" name="Mendeley Recent Style Id 4_1">
    <vt:lpwstr>http://www.zotero.org/styles/harvard-cite-them-right</vt:lpwstr>
  </property>
  <property fmtid="{D5CDD505-2E9C-101B-9397-08002B2CF9AE}" pid="11" name="Mendeley Recent Style Name 4_1">
    <vt:lpwstr>Cite Them Right 10th edition - Harvard</vt:lpwstr>
  </property>
  <property fmtid="{D5CDD505-2E9C-101B-9397-08002B2CF9AE}" pid="12" name="Mendeley Recent Style Id 5_1">
    <vt:lpwstr>http://www.zotero.org/styles/genome-biology</vt:lpwstr>
  </property>
  <property fmtid="{D5CDD505-2E9C-101B-9397-08002B2CF9AE}" pid="13" name="Mendeley Recent Style Name 5_1">
    <vt:lpwstr>Genome Biology</vt:lpwstr>
  </property>
  <property fmtid="{D5CDD505-2E9C-101B-9397-08002B2CF9AE}" pid="14" name="Mendeley Recent Style Id 6_1">
    <vt:lpwstr>http://www.zotero.org/styles/modern-humanities-research-association</vt:lpwstr>
  </property>
  <property fmtid="{D5CDD505-2E9C-101B-9397-08002B2CF9AE}" pid="15" name="Mendeley Recent Style Name 6_1">
    <vt:lpwstr>Modern Humanities Research Association 3rd edition (note with bibliography)</vt:lpwstr>
  </property>
  <property fmtid="{D5CDD505-2E9C-101B-9397-08002B2CF9AE}" pid="16" name="Mendeley Recent Style Id 7_1">
    <vt:lpwstr>http://www.zotero.org/styles/modern-language-association</vt:lpwstr>
  </property>
  <property fmtid="{D5CDD505-2E9C-101B-9397-08002B2CF9AE}" pid="17" name="Mendeley Recent Style Name 7_1">
    <vt:lpwstr>Modern Language Association 8th edition</vt:lpwstr>
  </property>
  <property fmtid="{D5CDD505-2E9C-101B-9397-08002B2CF9AE}" pid="18" name="Mendeley Recent Style Id 8_1">
    <vt:lpwstr>http://www.zotero.org/styles/nature-biotechnology</vt:lpwstr>
  </property>
  <property fmtid="{D5CDD505-2E9C-101B-9397-08002B2CF9AE}" pid="19" name="Mendeley Recent Style Name 8_1">
    <vt:lpwstr>Nature Biotechnology</vt:lpwstr>
  </property>
  <property fmtid="{D5CDD505-2E9C-101B-9397-08002B2CF9AE}" pid="20" name="Mendeley Recent Style Id 9_1">
    <vt:lpwstr>http://www.zotero.org/styles/plos-biology</vt:lpwstr>
  </property>
  <property fmtid="{D5CDD505-2E9C-101B-9397-08002B2CF9AE}" pid="21" name="Mendeley Recent Style Name 9_1">
    <vt:lpwstr>PLOS Biology</vt:lpwstr>
  </property>
  <property fmtid="{D5CDD505-2E9C-101B-9397-08002B2CF9AE}" pid="22" name="Mendeley Document_1">
    <vt:lpwstr>True</vt:lpwstr>
  </property>
  <property fmtid="{D5CDD505-2E9C-101B-9397-08002B2CF9AE}" pid="23" name="Mendeley Unique User Id_1">
    <vt:lpwstr>56608e2f-6b78-389c-979a-03858520f906</vt:lpwstr>
  </property>
  <property fmtid="{D5CDD505-2E9C-101B-9397-08002B2CF9AE}" pid="24" name="Mendeley Citation Style_1">
    <vt:lpwstr>http://www.zotero.org/styles/plos-biology</vt:lpwstr>
  </property>
</Properties>
</file>